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B5570" w:rsidR="00EE4F71" w:rsidP="00EE4F71" w:rsidRDefault="00EE4F71" w14:paraId="3FA55BB2" w14:textId="77777777">
      <w:pPr>
        <w:pStyle w:val="Heading1"/>
        <w:spacing w:before="0" w:after="120"/>
        <w:jc w:val="both"/>
      </w:pPr>
      <w:r w:rsidRPr="00DB5570">
        <w:t>The Association of Directors of Public Health</w:t>
      </w:r>
    </w:p>
    <w:p w:rsidR="00EE4F71" w:rsidP="00EE4F71" w:rsidRDefault="00EE4F71" w14:paraId="45BB83D2" w14:textId="77777777">
      <w:pPr>
        <w:pStyle w:val="MainHeaderGold"/>
      </w:pPr>
      <w:r>
        <w:t xml:space="preserve">Weekly Member Briefing – COVID-19 </w:t>
      </w:r>
    </w:p>
    <w:p w:rsidRPr="00DE7BE6" w:rsidR="00EE4F71" w:rsidP="00EE4F71" w:rsidRDefault="00EE4F71" w14:paraId="45BCE60E" w14:textId="77777777">
      <w:pPr>
        <w:spacing w:after="0"/>
        <w:rPr>
          <w:lang w:val="en-US"/>
        </w:rPr>
      </w:pPr>
    </w:p>
    <w:p w:rsidRPr="00FE5487" w:rsidR="00EE4F71" w:rsidP="00EE4F71" w:rsidRDefault="00EE4F71" w14:paraId="7AD28DF6" w14:textId="77777777">
      <w:pPr>
        <w:tabs>
          <w:tab w:val="left" w:pos="6770"/>
        </w:tabs>
        <w:spacing w:after="0"/>
        <w:rPr>
          <w:b/>
          <w:bCs/>
          <w:lang w:val="en-US"/>
        </w:rPr>
      </w:pPr>
      <w:r w:rsidRPr="227D7484">
        <w:rPr>
          <w:b/>
          <w:bCs/>
          <w:lang w:val="en-US"/>
        </w:rPr>
        <w:t xml:space="preserve">Introduction </w:t>
      </w:r>
    </w:p>
    <w:p w:rsidR="00EE4F71" w:rsidP="00EE4F71" w:rsidRDefault="00EE4F71" w14:paraId="7A9CFF43" w14:textId="77777777">
      <w:pPr>
        <w:spacing w:after="0"/>
        <w:rPr>
          <w:b/>
          <w:bCs/>
          <w:lang w:val="en-US"/>
        </w:rPr>
      </w:pPr>
    </w:p>
    <w:p w:rsidRPr="00F73F73" w:rsidR="00EE4F71" w:rsidP="00EE4F71" w:rsidRDefault="00EE4F71" w14:paraId="73F9B8EE" w14:textId="79D4F80B">
      <w:pPr>
        <w:spacing w:after="0"/>
        <w:rPr>
          <w:lang w:val="en-US"/>
        </w:rPr>
      </w:pPr>
      <w:r w:rsidRPr="00F73F73">
        <w:rPr>
          <w:lang w:val="en-US"/>
        </w:rPr>
        <w:t xml:space="preserve">Each week the Association of Directors of Public Health (ADPH) will be providing a Member Briefing to update Directors of Public Health (DsPH) on our policy positions and key messages in relation to the COVID-19 response. This will also be published on our website for stakeholders and the media to reference. </w:t>
      </w:r>
      <w:r w:rsidR="00501F86">
        <w:rPr>
          <w:lang w:val="en-US"/>
        </w:rPr>
        <w:t xml:space="preserve"> </w:t>
      </w:r>
      <w:bookmarkStart w:name="_GoBack" w:id="0"/>
      <w:bookmarkEnd w:id="0"/>
    </w:p>
    <w:p w:rsidR="00EE4F71" w:rsidP="00EE4F71" w:rsidRDefault="00EE4F71" w14:paraId="4E386B96" w14:textId="77777777">
      <w:pPr>
        <w:tabs>
          <w:tab w:val="left" w:pos="6770"/>
        </w:tabs>
        <w:spacing w:after="0"/>
        <w:rPr>
          <w:b/>
          <w:bCs/>
          <w:lang w:val="en-US"/>
        </w:rPr>
      </w:pPr>
    </w:p>
    <w:p w:rsidRPr="00672AC3" w:rsidR="00EE4F71" w:rsidP="00EE4F71" w:rsidRDefault="00EE4F71" w14:paraId="65842D56" w14:textId="77777777">
      <w:pPr>
        <w:tabs>
          <w:tab w:val="left" w:pos="6770"/>
        </w:tabs>
        <w:spacing w:after="0"/>
        <w:rPr>
          <w:b/>
          <w:bCs/>
          <w:lang w:val="en-US"/>
        </w:rPr>
      </w:pPr>
      <w:r>
        <w:rPr>
          <w:b/>
          <w:bCs/>
          <w:lang w:val="en-US"/>
        </w:rPr>
        <w:t xml:space="preserve">Role of </w:t>
      </w:r>
      <w:r w:rsidRPr="00672AC3">
        <w:rPr>
          <w:b/>
          <w:bCs/>
          <w:lang w:val="en-US"/>
        </w:rPr>
        <w:t xml:space="preserve">Directors of Public Health </w:t>
      </w:r>
    </w:p>
    <w:p w:rsidR="00EE4F71" w:rsidP="00EE4F71" w:rsidRDefault="00EE4F71" w14:paraId="1ACC1FE6" w14:textId="77777777">
      <w:pPr>
        <w:spacing w:after="0"/>
        <w:rPr>
          <w:lang w:val="en-US"/>
        </w:rPr>
      </w:pPr>
    </w:p>
    <w:p w:rsidRPr="009E26F9" w:rsidR="00EE4F71" w:rsidP="00EE4F71" w:rsidRDefault="008950EC" w14:paraId="23F0845C" w14:textId="756AC81B">
      <w:pPr>
        <w:spacing w:after="0"/>
        <w:rPr>
          <w:lang w:val="en-US"/>
        </w:rPr>
      </w:pPr>
      <w:r>
        <w:rPr>
          <w:lang w:val="en-US"/>
        </w:rPr>
        <w:t>DsPH</w:t>
      </w:r>
      <w:r w:rsidRPr="009E26F9" w:rsidR="00EE4F71">
        <w:rPr>
          <w:lang w:val="en-US"/>
        </w:rPr>
        <w:t xml:space="preserve"> are performing a crucial systems leadership role. There have been five main tasks, although these will vary depending on local arrangements.</w:t>
      </w:r>
    </w:p>
    <w:p w:rsidR="00EE4F71" w:rsidP="00EE4F71" w:rsidRDefault="00EE4F71" w14:paraId="5D12940A" w14:textId="77777777">
      <w:pPr>
        <w:spacing w:after="0"/>
        <w:rPr>
          <w:lang w:val="en-US"/>
        </w:rPr>
      </w:pPr>
    </w:p>
    <w:p w:rsidRPr="002E1E15" w:rsidR="00EE4F71" w:rsidP="00EE4F71" w:rsidRDefault="00EE4F71" w14:paraId="2CC61C93" w14:textId="77777777">
      <w:pPr>
        <w:pStyle w:val="ListParagraph"/>
        <w:numPr>
          <w:ilvl w:val="0"/>
          <w:numId w:val="2"/>
        </w:numPr>
        <w:spacing w:after="0"/>
        <w:rPr>
          <w:lang w:val="en-US" w:eastAsia="en-US"/>
        </w:rPr>
      </w:pPr>
      <w:r w:rsidRPr="002E1E15">
        <w:rPr>
          <w:lang w:val="en-US" w:eastAsia="en-US"/>
        </w:rPr>
        <w:t xml:space="preserve">Preparation. DsPH are trained for outbreaks and teams have tried and tested processes in place. In the early stages of the pandemic, DsPH produced local guidance and information for </w:t>
      </w:r>
      <w:r>
        <w:rPr>
          <w:lang w:val="en-US" w:eastAsia="en-US"/>
        </w:rPr>
        <w:t>other council</w:t>
      </w:r>
      <w:r w:rsidRPr="002E1E15">
        <w:rPr>
          <w:lang w:val="en-US" w:eastAsia="en-US"/>
        </w:rPr>
        <w:t xml:space="preserve"> departments, elected members and the wider community e.g. </w:t>
      </w:r>
      <w:r>
        <w:rPr>
          <w:lang w:val="en-US" w:eastAsia="en-US"/>
        </w:rPr>
        <w:t xml:space="preserve">the NHS, social care sector, </w:t>
      </w:r>
      <w:r w:rsidRPr="002E1E15">
        <w:rPr>
          <w:lang w:val="en-US" w:eastAsia="en-US"/>
        </w:rPr>
        <w:t xml:space="preserve">education settings, businesses and faith groups. </w:t>
      </w:r>
    </w:p>
    <w:p w:rsidR="00EE4F71" w:rsidP="00EE4F71" w:rsidRDefault="00EE4F71" w14:paraId="4742FE2E" w14:textId="77777777">
      <w:pPr>
        <w:pStyle w:val="ListParagraph"/>
        <w:spacing w:after="0"/>
        <w:ind w:left="720"/>
        <w:rPr>
          <w:lang w:val="en-US" w:eastAsia="en-US"/>
        </w:rPr>
      </w:pPr>
    </w:p>
    <w:p w:rsidRPr="002E1E15" w:rsidR="00EE4F71" w:rsidP="00EE4F71" w:rsidRDefault="00EE4F71" w14:paraId="701E0F30" w14:textId="77777777">
      <w:pPr>
        <w:pStyle w:val="ListParagraph"/>
        <w:numPr>
          <w:ilvl w:val="0"/>
          <w:numId w:val="2"/>
        </w:numPr>
        <w:spacing w:after="0"/>
        <w:rPr>
          <w:lang w:val="en-US" w:eastAsia="en-US"/>
        </w:rPr>
      </w:pPr>
      <w:r w:rsidRPr="002E1E15">
        <w:rPr>
          <w:lang w:val="en-US" w:eastAsia="en-US"/>
        </w:rPr>
        <w:t>Prevention. DsPH continue to work with the local media and community groups to promote clear public health messages and advice. This include</w:t>
      </w:r>
      <w:r>
        <w:rPr>
          <w:lang w:val="en-US" w:eastAsia="en-US"/>
        </w:rPr>
        <w:t xml:space="preserve">s </w:t>
      </w:r>
      <w:r w:rsidRPr="002E1E15">
        <w:rPr>
          <w:lang w:val="en-US" w:eastAsia="en-US"/>
        </w:rPr>
        <w:t xml:space="preserve">developing resources and campaigns on issues like public mental health. Many councils have also taken a proactive approach to sourcing PPE and hand </w:t>
      </w:r>
      <w:proofErr w:type="spellStart"/>
      <w:r w:rsidRPr="002E1E15">
        <w:rPr>
          <w:lang w:val="en-US" w:eastAsia="en-US"/>
        </w:rPr>
        <w:t>saniti</w:t>
      </w:r>
      <w:r>
        <w:rPr>
          <w:lang w:val="en-US" w:eastAsia="en-US"/>
        </w:rPr>
        <w:t>s</w:t>
      </w:r>
      <w:r w:rsidRPr="002E1E15">
        <w:rPr>
          <w:lang w:val="en-US" w:eastAsia="en-US"/>
        </w:rPr>
        <w:t>er</w:t>
      </w:r>
      <w:proofErr w:type="spellEnd"/>
      <w:r w:rsidRPr="002E1E15">
        <w:rPr>
          <w:lang w:val="en-US" w:eastAsia="en-US"/>
        </w:rPr>
        <w:t xml:space="preserve">, working in partnership with universities and manufacturers. </w:t>
      </w:r>
    </w:p>
    <w:p w:rsidRPr="001A6891" w:rsidR="00EE4F71" w:rsidP="00EE4F71" w:rsidRDefault="00EE4F71" w14:paraId="4C399488" w14:textId="77777777">
      <w:pPr>
        <w:spacing w:after="0"/>
        <w:rPr>
          <w:lang w:val="en-US"/>
        </w:rPr>
      </w:pPr>
    </w:p>
    <w:p w:rsidRPr="002E1E15" w:rsidR="00EE4F71" w:rsidP="00EE4F71" w:rsidRDefault="00EE4F71" w14:paraId="5803F50E" w14:textId="77777777">
      <w:pPr>
        <w:pStyle w:val="ListParagraph"/>
        <w:numPr>
          <w:ilvl w:val="0"/>
          <w:numId w:val="2"/>
        </w:numPr>
        <w:spacing w:after="0"/>
        <w:rPr>
          <w:lang w:val="en-US" w:eastAsia="en-US"/>
        </w:rPr>
      </w:pPr>
      <w:r w:rsidRPr="002E1E15">
        <w:rPr>
          <w:lang w:val="en-US" w:eastAsia="en-US"/>
        </w:rPr>
        <w:t>Prioritisation. Some services have had to be adapted to ensure resources are focused on the task in front of us e.g. sexual health and drug treatment services have enhanced their online offer. Focus on other services has increased e.g. as evidence grows that smokers are</w:t>
      </w:r>
      <w:r>
        <w:rPr>
          <w:lang w:val="en-US" w:eastAsia="en-US"/>
        </w:rPr>
        <w:t xml:space="preserve"> more</w:t>
      </w:r>
      <w:r w:rsidRPr="002E1E15">
        <w:rPr>
          <w:lang w:val="en-US" w:eastAsia="en-US"/>
        </w:rPr>
        <w:t xml:space="preserve"> at high risk of severe COVID</w:t>
      </w:r>
      <w:r>
        <w:rPr>
          <w:lang w:val="en-US" w:eastAsia="en-US"/>
        </w:rPr>
        <w:t xml:space="preserve">-19 symptoms, stop smoking support has expanded in many areas. </w:t>
      </w:r>
    </w:p>
    <w:p w:rsidRPr="001A6891" w:rsidR="00EE4F71" w:rsidP="00EE4F71" w:rsidRDefault="00EE4F71" w14:paraId="2ADCF726" w14:textId="77777777">
      <w:pPr>
        <w:pStyle w:val="ListParagraph"/>
        <w:rPr>
          <w:lang w:val="en-US" w:eastAsia="en-US"/>
        </w:rPr>
      </w:pPr>
    </w:p>
    <w:p w:rsidRPr="002E1E15" w:rsidR="00EE4F71" w:rsidP="00EE4F71" w:rsidRDefault="00EE4F71" w14:paraId="7A023735" w14:textId="77777777">
      <w:pPr>
        <w:pStyle w:val="ListParagraph"/>
        <w:numPr>
          <w:ilvl w:val="0"/>
          <w:numId w:val="2"/>
        </w:numPr>
        <w:spacing w:after="0"/>
        <w:rPr>
          <w:lang w:val="en-US" w:eastAsia="en-US"/>
        </w:rPr>
      </w:pPr>
      <w:r w:rsidRPr="002E1E15">
        <w:rPr>
          <w:lang w:val="en-US" w:eastAsia="en-US"/>
        </w:rPr>
        <w:t xml:space="preserve">Collaboration. Public health teams have been working closely with other council departments e.g. social care colleagues on PPE and </w:t>
      </w:r>
      <w:r>
        <w:rPr>
          <w:lang w:val="en-US" w:eastAsia="en-US"/>
        </w:rPr>
        <w:t xml:space="preserve">external </w:t>
      </w:r>
      <w:r w:rsidRPr="002E1E15">
        <w:rPr>
          <w:lang w:val="en-US" w:eastAsia="en-US"/>
        </w:rPr>
        <w:t xml:space="preserve">partners e.g. supporting PHE in the initial contact tracing efforts. </w:t>
      </w:r>
    </w:p>
    <w:p w:rsidR="00EE4F71" w:rsidP="00EE4F71" w:rsidRDefault="00EE4F71" w14:paraId="420CD441" w14:textId="77777777">
      <w:pPr>
        <w:pStyle w:val="ListParagraph"/>
        <w:spacing w:after="0"/>
        <w:ind w:left="720"/>
        <w:rPr>
          <w:lang w:val="en-US" w:eastAsia="en-US"/>
        </w:rPr>
      </w:pPr>
    </w:p>
    <w:p w:rsidRPr="002E1E15" w:rsidR="00EE4F71" w:rsidP="00EE4F71" w:rsidRDefault="00EE4F71" w14:paraId="01379FF4" w14:textId="77777777">
      <w:pPr>
        <w:pStyle w:val="ListParagraph"/>
        <w:numPr>
          <w:ilvl w:val="0"/>
          <w:numId w:val="2"/>
        </w:numPr>
        <w:spacing w:after="0"/>
        <w:rPr>
          <w:lang w:val="en-US" w:eastAsia="en-US"/>
        </w:rPr>
      </w:pPr>
      <w:r w:rsidRPr="002E1E15">
        <w:rPr>
          <w:lang w:val="en-US" w:eastAsia="en-US"/>
        </w:rPr>
        <w:t>Advice. DsPH have been the ‘go-to’ source of knowledge and information for numerous agencies when it comes to planning</w:t>
      </w:r>
      <w:r>
        <w:rPr>
          <w:lang w:val="en-US" w:eastAsia="en-US"/>
        </w:rPr>
        <w:t xml:space="preserve"> and</w:t>
      </w:r>
      <w:r w:rsidRPr="002E1E15">
        <w:rPr>
          <w:lang w:val="en-US" w:eastAsia="en-US"/>
        </w:rPr>
        <w:t xml:space="preserve"> providing local analysis on: when the peak is, what beds</w:t>
      </w:r>
      <w:r>
        <w:rPr>
          <w:lang w:val="en-US" w:eastAsia="en-US"/>
        </w:rPr>
        <w:t xml:space="preserve"> numbers </w:t>
      </w:r>
      <w:r w:rsidRPr="002E1E15">
        <w:rPr>
          <w:lang w:val="en-US" w:eastAsia="en-US"/>
        </w:rPr>
        <w:t xml:space="preserve">will </w:t>
      </w:r>
      <w:r>
        <w:rPr>
          <w:lang w:val="en-US" w:eastAsia="en-US"/>
        </w:rPr>
        <w:t xml:space="preserve">be </w:t>
      </w:r>
      <w:r w:rsidRPr="002E1E15">
        <w:rPr>
          <w:lang w:val="en-US" w:eastAsia="en-US"/>
        </w:rPr>
        <w:t>need</w:t>
      </w:r>
      <w:r>
        <w:rPr>
          <w:lang w:val="en-US" w:eastAsia="en-US"/>
        </w:rPr>
        <w:t>ed</w:t>
      </w:r>
      <w:r w:rsidRPr="002E1E15">
        <w:rPr>
          <w:lang w:val="en-US" w:eastAsia="en-US"/>
        </w:rPr>
        <w:t xml:space="preserve">, how many spaces for storage of the deceased will </w:t>
      </w:r>
      <w:r>
        <w:rPr>
          <w:lang w:val="en-US" w:eastAsia="en-US"/>
        </w:rPr>
        <w:t>required</w:t>
      </w:r>
      <w:r w:rsidRPr="002E1E15">
        <w:rPr>
          <w:lang w:val="en-US" w:eastAsia="en-US"/>
        </w:rPr>
        <w:t xml:space="preserve">, </w:t>
      </w:r>
      <w:r>
        <w:rPr>
          <w:lang w:val="en-US" w:eastAsia="en-US"/>
        </w:rPr>
        <w:t>the social and economic impacts.</w:t>
      </w:r>
    </w:p>
    <w:p w:rsidR="00EE4F71" w:rsidP="00EE4F71" w:rsidRDefault="00EE4F71" w14:paraId="4DFFFB0D" w14:textId="77777777">
      <w:pPr>
        <w:spacing w:after="0"/>
        <w:rPr>
          <w:b/>
          <w:bCs/>
          <w:lang w:val="en-US"/>
        </w:rPr>
      </w:pPr>
    </w:p>
    <w:p w:rsidR="2BA8ECAA" w:rsidP="00A61FA0" w:rsidRDefault="2BA8ECAA" w14:paraId="79E81BD7" w14:textId="480E1877">
      <w:r>
        <w:br w:type="page"/>
      </w:r>
    </w:p>
    <w:p w:rsidR="00EE4F71" w:rsidP="00EE4F71" w:rsidRDefault="00EE4F71" w14:paraId="704F1064" w14:textId="77777777">
      <w:pPr>
        <w:spacing w:after="0"/>
        <w:rPr>
          <w:b/>
          <w:bCs/>
          <w:lang w:val="en-US"/>
        </w:rPr>
      </w:pPr>
      <w:r>
        <w:rPr>
          <w:b/>
          <w:bCs/>
          <w:lang w:val="en-US"/>
        </w:rPr>
        <w:lastRenderedPageBreak/>
        <w:t xml:space="preserve">Funding </w:t>
      </w:r>
    </w:p>
    <w:p w:rsidR="00EE4F71" w:rsidP="00EE4F71" w:rsidRDefault="00EE4F71" w14:paraId="2434BC7F" w14:textId="77777777">
      <w:pPr>
        <w:spacing w:after="0"/>
        <w:rPr>
          <w:lang w:val="en-US"/>
        </w:rPr>
      </w:pPr>
    </w:p>
    <w:p w:rsidRPr="002E1E15" w:rsidR="00EE4F71" w:rsidP="00EE4F71" w:rsidRDefault="00EE4F71" w14:paraId="16302AD5" w14:textId="794C80B3">
      <w:pPr>
        <w:spacing w:after="0"/>
        <w:rPr>
          <w:lang w:val="en-US"/>
        </w:rPr>
      </w:pPr>
      <w:r>
        <w:rPr>
          <w:lang w:val="en-US"/>
        </w:rPr>
        <w:t>ADPH</w:t>
      </w:r>
      <w:r w:rsidRPr="002E1E15">
        <w:rPr>
          <w:lang w:val="en-US"/>
        </w:rPr>
        <w:t xml:space="preserve"> welcome</w:t>
      </w:r>
      <w:r>
        <w:rPr>
          <w:lang w:val="en-US"/>
        </w:rPr>
        <w:t>d</w:t>
      </w:r>
      <w:r w:rsidRPr="002E1E15">
        <w:rPr>
          <w:lang w:val="en-US"/>
        </w:rPr>
        <w:t xml:space="preserve"> the announcement by the Government of £1.6bn of additional funding for local government including to help manage public health pressures. However, the LGA estimate that the total cost pressures of responding to COVID-19 will be </w:t>
      </w:r>
      <w:r>
        <w:rPr>
          <w:lang w:val="en-US"/>
        </w:rPr>
        <w:t>three</w:t>
      </w:r>
      <w:r w:rsidRPr="002E1E15">
        <w:rPr>
          <w:lang w:val="en-US"/>
        </w:rPr>
        <w:t xml:space="preserve"> or </w:t>
      </w:r>
      <w:r>
        <w:rPr>
          <w:lang w:val="en-US"/>
        </w:rPr>
        <w:t xml:space="preserve">four </w:t>
      </w:r>
      <w:r w:rsidRPr="002E1E15">
        <w:rPr>
          <w:lang w:val="en-US"/>
        </w:rPr>
        <w:t>times more than the £3.2bn allocated to local government</w:t>
      </w:r>
      <w:r>
        <w:rPr>
          <w:lang w:val="en-US"/>
        </w:rPr>
        <w:t xml:space="preserve"> so far. </w:t>
      </w:r>
    </w:p>
    <w:p w:rsidRPr="00D61A63" w:rsidR="00EE4F71" w:rsidP="00EE4F71" w:rsidRDefault="00EE4F71" w14:paraId="50E7E6EC" w14:textId="77777777">
      <w:pPr>
        <w:pStyle w:val="ListParagraph"/>
        <w:spacing w:after="0"/>
        <w:ind w:left="720"/>
        <w:rPr>
          <w:rFonts w:cs="Calibri"/>
          <w:lang w:val="en-US" w:eastAsia="en-US"/>
        </w:rPr>
      </w:pPr>
    </w:p>
    <w:p w:rsidR="00EE4F71" w:rsidP="00EE4F71" w:rsidRDefault="00EE4F71" w14:paraId="6B92D8C1" w14:textId="77777777">
      <w:pPr>
        <w:pStyle w:val="ListParagraph"/>
        <w:numPr>
          <w:ilvl w:val="0"/>
          <w:numId w:val="1"/>
        </w:numPr>
        <w:spacing w:after="0"/>
        <w:rPr>
          <w:rFonts w:cs="Calibri"/>
          <w:lang w:val="en-US" w:eastAsia="en-US"/>
        </w:rPr>
      </w:pPr>
      <w:r w:rsidRPr="00D61A63">
        <w:rPr>
          <w:rFonts w:cs="Calibri"/>
          <w:lang w:val="en-US" w:eastAsia="en-US"/>
        </w:rPr>
        <w:t>The reality is that a decade of cuts to local government and public health budgets have left us in a less resilient place than</w:t>
      </w:r>
      <w:r>
        <w:rPr>
          <w:rFonts w:cs="Calibri"/>
          <w:lang w:val="en-US" w:eastAsia="en-US"/>
        </w:rPr>
        <w:t xml:space="preserve"> </w:t>
      </w:r>
      <w:r w:rsidRPr="00D61A63">
        <w:rPr>
          <w:rFonts w:cs="Calibri"/>
          <w:lang w:val="en-US" w:eastAsia="en-US"/>
        </w:rPr>
        <w:t xml:space="preserve">would have otherwise been the case. </w:t>
      </w:r>
      <w:r>
        <w:rPr>
          <w:rFonts w:cs="Calibri"/>
          <w:lang w:val="en-US" w:eastAsia="en-US"/>
        </w:rPr>
        <w:t>Analysis by the Health Foundation shows that the public health grant is n</w:t>
      </w:r>
      <w:r w:rsidRPr="001377E7">
        <w:rPr>
          <w:rFonts w:cs="Calibri"/>
          <w:lang w:val="en-US" w:eastAsia="en-US"/>
        </w:rPr>
        <w:t xml:space="preserve">ow £850m lower in </w:t>
      </w:r>
      <w:proofErr w:type="gramStart"/>
      <w:r w:rsidRPr="001377E7">
        <w:rPr>
          <w:rFonts w:cs="Calibri"/>
          <w:lang w:val="en-US" w:eastAsia="en-US"/>
        </w:rPr>
        <w:t>real-terms</w:t>
      </w:r>
      <w:proofErr w:type="gramEnd"/>
      <w:r w:rsidRPr="001377E7">
        <w:rPr>
          <w:rFonts w:cs="Calibri"/>
          <w:lang w:val="en-US" w:eastAsia="en-US"/>
        </w:rPr>
        <w:t xml:space="preserve"> than initial allocations in 2015/1</w:t>
      </w:r>
      <w:r>
        <w:rPr>
          <w:rFonts w:cs="Calibri"/>
          <w:lang w:val="en-US" w:eastAsia="en-US"/>
        </w:rPr>
        <w:t xml:space="preserve">6. </w:t>
      </w:r>
    </w:p>
    <w:p w:rsidR="00EE4F71" w:rsidP="00EE4F71" w:rsidRDefault="00EE4F71" w14:paraId="7B9248F7" w14:textId="77777777">
      <w:pPr>
        <w:pStyle w:val="ListParagraph"/>
        <w:spacing w:after="0"/>
        <w:ind w:left="720"/>
        <w:rPr>
          <w:rFonts w:cs="Calibri"/>
          <w:lang w:val="en-US" w:eastAsia="en-US"/>
        </w:rPr>
      </w:pPr>
    </w:p>
    <w:p w:rsidRPr="002E1E15" w:rsidR="00EE4F71" w:rsidP="00EE4F71" w:rsidRDefault="00EE4F71" w14:paraId="36061874" w14:textId="77777777">
      <w:pPr>
        <w:pStyle w:val="ListParagraph"/>
        <w:numPr>
          <w:ilvl w:val="0"/>
          <w:numId w:val="1"/>
        </w:numPr>
        <w:spacing w:after="0"/>
        <w:rPr>
          <w:rFonts w:cs="Calibri"/>
          <w:lang w:val="en-US" w:eastAsia="en-US"/>
        </w:rPr>
      </w:pPr>
      <w:r>
        <w:rPr>
          <w:rFonts w:cs="Calibri"/>
          <w:lang w:val="en-US" w:eastAsia="en-US"/>
        </w:rPr>
        <w:t xml:space="preserve">Public health functions are experiencing a range of pressures in relation to early years support, drug and alcohol treatment, sexual and reproductive health services and staffing costs. </w:t>
      </w:r>
    </w:p>
    <w:p w:rsidRPr="00D61A63" w:rsidR="00EE4F71" w:rsidP="00EE4F71" w:rsidRDefault="00EE4F71" w14:paraId="22E4E333" w14:textId="77777777">
      <w:pPr>
        <w:pStyle w:val="ListParagraph"/>
        <w:spacing w:after="0"/>
        <w:ind w:left="720"/>
        <w:rPr>
          <w:rFonts w:cs="Calibri"/>
          <w:lang w:val="en-US" w:eastAsia="en-US"/>
        </w:rPr>
      </w:pPr>
    </w:p>
    <w:p w:rsidRPr="00D61A63" w:rsidR="00EE4F71" w:rsidP="00EE4F71" w:rsidRDefault="00EE4F71" w14:paraId="41ECD2D3" w14:textId="77777777">
      <w:pPr>
        <w:pStyle w:val="ListParagraph"/>
        <w:numPr>
          <w:ilvl w:val="0"/>
          <w:numId w:val="1"/>
        </w:numPr>
        <w:spacing w:after="0"/>
        <w:rPr>
          <w:rFonts w:cs="Calibri"/>
          <w:lang w:val="en-US" w:eastAsia="en-US"/>
        </w:rPr>
      </w:pPr>
      <w:r w:rsidRPr="00D61A63">
        <w:rPr>
          <w:rFonts w:cs="Calibri"/>
          <w:lang w:val="en-US" w:eastAsia="en-US"/>
        </w:rPr>
        <w:t xml:space="preserve">The Government has pledged to provide whatever funding the NHS needs – it is crucial that this approach is also applied to local government. </w:t>
      </w:r>
    </w:p>
    <w:p w:rsidRPr="00D61A63" w:rsidR="00EE4F71" w:rsidP="00EE4F71" w:rsidRDefault="00EE4F71" w14:paraId="3560C471" w14:textId="77777777">
      <w:pPr>
        <w:spacing w:after="0"/>
        <w:rPr>
          <w:rFonts w:cs="Calibri"/>
          <w:lang w:val="en-US"/>
        </w:rPr>
      </w:pPr>
    </w:p>
    <w:p w:rsidRPr="00D61A63" w:rsidR="00EE4F71" w:rsidP="00EE4F71" w:rsidRDefault="007B1C38" w14:paraId="5C5CEA15" w14:textId="3D494F84">
      <w:pPr>
        <w:pStyle w:val="ListParagraph"/>
        <w:numPr>
          <w:ilvl w:val="0"/>
          <w:numId w:val="3"/>
        </w:numPr>
        <w:spacing w:after="0"/>
        <w:rPr>
          <w:rFonts w:cs="Calibri"/>
          <w:lang w:val="en-US" w:eastAsia="en-US"/>
        </w:rPr>
      </w:pPr>
      <w:r>
        <w:rPr>
          <w:rFonts w:cs="Calibri"/>
          <w:bdr w:val="none" w:color="auto" w:sz="0" w:space="0" w:frame="1"/>
        </w:rPr>
        <w:t xml:space="preserve">The </w:t>
      </w:r>
      <w:r w:rsidR="00EE4F71">
        <w:rPr>
          <w:rFonts w:cs="Calibri"/>
          <w:bdr w:val="none" w:color="auto" w:sz="0" w:space="0" w:frame="1"/>
        </w:rPr>
        <w:t xml:space="preserve">DHSC needs to work closely with councils on future allocations so that they reflect the true cost pressures for councils. DsPH are already reporting that most of this funding to be spent on social care for understandable reasons. </w:t>
      </w:r>
    </w:p>
    <w:p w:rsidRPr="00D61A63" w:rsidR="00EE4F71" w:rsidP="00EE4F71" w:rsidRDefault="00EE4F71" w14:paraId="738D08F5" w14:textId="77777777">
      <w:pPr>
        <w:pStyle w:val="ListParagraph"/>
        <w:spacing w:after="0"/>
        <w:ind w:left="720"/>
        <w:rPr>
          <w:rFonts w:cs="Calibri"/>
          <w:lang w:val="en-US" w:eastAsia="en-US"/>
        </w:rPr>
      </w:pPr>
    </w:p>
    <w:p w:rsidRPr="00D61A63" w:rsidR="00EE4F71" w:rsidP="00EE4F71" w:rsidRDefault="00EE4F71" w14:paraId="049D9D56" w14:textId="77777777">
      <w:pPr>
        <w:pStyle w:val="ListParagraph"/>
        <w:numPr>
          <w:ilvl w:val="0"/>
          <w:numId w:val="3"/>
        </w:numPr>
        <w:spacing w:after="0"/>
        <w:rPr>
          <w:rFonts w:cs="Calibri"/>
          <w:lang w:val="en-US" w:eastAsia="en-US"/>
        </w:rPr>
      </w:pPr>
      <w:r>
        <w:rPr>
          <w:rFonts w:cs="Calibri"/>
          <w:bdr w:val="none" w:color="auto" w:sz="0" w:space="0" w:frame="1"/>
        </w:rPr>
        <w:t xml:space="preserve">The </w:t>
      </w:r>
      <w:r w:rsidRPr="00D61A63">
        <w:rPr>
          <w:rFonts w:cs="Calibri"/>
          <w:bdr w:val="none" w:color="auto" w:sz="0" w:space="0" w:frame="1"/>
        </w:rPr>
        <w:t>LGA</w:t>
      </w:r>
      <w:r>
        <w:rPr>
          <w:rFonts w:cs="Calibri"/>
          <w:bdr w:val="none" w:color="auto" w:sz="0" w:space="0" w:frame="1"/>
        </w:rPr>
        <w:t xml:space="preserve"> has called for</w:t>
      </w:r>
      <w:r w:rsidRPr="00D61A63">
        <w:rPr>
          <w:rFonts w:cs="Calibri"/>
          <w:bdr w:val="none" w:color="auto" w:sz="0" w:space="0" w:frame="1"/>
        </w:rPr>
        <w:t xml:space="preserve"> other grants, such as the public health grant, </w:t>
      </w:r>
      <w:r>
        <w:rPr>
          <w:rFonts w:cs="Calibri"/>
          <w:bdr w:val="none" w:color="auto" w:sz="0" w:space="0" w:frame="1"/>
        </w:rPr>
        <w:t xml:space="preserve">to </w:t>
      </w:r>
      <w:r w:rsidRPr="00D61A63">
        <w:rPr>
          <w:rFonts w:cs="Calibri"/>
          <w:bdr w:val="none" w:color="auto" w:sz="0" w:space="0" w:frame="1"/>
        </w:rPr>
        <w:t>be considered for early payment in line with the approach taken to MHCLG social care grants.</w:t>
      </w:r>
    </w:p>
    <w:p w:rsidRPr="00D61A63" w:rsidR="00EE4F71" w:rsidP="00EE4F71" w:rsidRDefault="00EE4F71" w14:paraId="2DA9A94F" w14:textId="77777777">
      <w:pPr>
        <w:pStyle w:val="ListParagraph"/>
        <w:rPr>
          <w:rFonts w:cs="Calibri"/>
          <w:lang w:val="en-US" w:eastAsia="en-US"/>
        </w:rPr>
      </w:pPr>
    </w:p>
    <w:p w:rsidRPr="00D61A63" w:rsidR="00EE4F71" w:rsidP="00EE4F71" w:rsidRDefault="560B49B7" w14:paraId="60D116F6" w14:textId="77777777">
      <w:pPr>
        <w:pStyle w:val="ListParagraph"/>
        <w:numPr>
          <w:ilvl w:val="0"/>
          <w:numId w:val="3"/>
        </w:numPr>
        <w:spacing w:after="0"/>
        <w:rPr>
          <w:rFonts w:cs="Calibri"/>
          <w:lang w:val="en-US" w:eastAsia="en-US"/>
        </w:rPr>
      </w:pPr>
      <w:r w:rsidRPr="2530F5A1">
        <w:rPr>
          <w:rFonts w:cs="Calibri"/>
          <w:lang w:val="en-US" w:eastAsia="en-US"/>
        </w:rPr>
        <w:t xml:space="preserve">The DHSC should work with ADPH to ensure public health teams have enough money to cope with the immediate response to COVID-19 and service pressures and work proactively on a long-term settlement to support recovery through an Autumn Spending Review. </w:t>
      </w:r>
    </w:p>
    <w:p w:rsidR="2530F5A1" w:rsidP="2530F5A1" w:rsidRDefault="2530F5A1" w14:paraId="3FF2ED15" w14:textId="303888A8">
      <w:pPr>
        <w:spacing w:after="0"/>
        <w:rPr>
          <w:b/>
          <w:bCs/>
          <w:lang w:val="en-US"/>
        </w:rPr>
      </w:pPr>
    </w:p>
    <w:p w:rsidR="565E6DA5" w:rsidP="2530F5A1" w:rsidRDefault="565E6DA5" w14:paraId="2B7A3600" w14:textId="77777777">
      <w:pPr>
        <w:spacing w:after="0"/>
        <w:rPr>
          <w:b/>
          <w:bCs/>
          <w:lang w:val="en-US"/>
        </w:rPr>
      </w:pPr>
      <w:r w:rsidRPr="2530F5A1">
        <w:rPr>
          <w:b/>
          <w:bCs/>
          <w:lang w:val="en-US"/>
        </w:rPr>
        <w:t xml:space="preserve">Contact tracing </w:t>
      </w:r>
    </w:p>
    <w:p w:rsidR="2530F5A1" w:rsidP="2530F5A1" w:rsidRDefault="2530F5A1" w14:paraId="2D0CB803" w14:textId="77777777">
      <w:pPr>
        <w:spacing w:after="0"/>
        <w:rPr>
          <w:lang w:val="en-US"/>
        </w:rPr>
      </w:pPr>
    </w:p>
    <w:p w:rsidR="565E6DA5" w:rsidP="2530F5A1" w:rsidRDefault="565E6DA5" w14:paraId="442B50E6" w14:textId="262018F7">
      <w:pPr>
        <w:rPr>
          <w:lang w:val="en-US"/>
        </w:rPr>
      </w:pPr>
      <w:r w:rsidRPr="2530F5A1">
        <w:rPr>
          <w:lang w:val="en-US"/>
        </w:rPr>
        <w:t xml:space="preserve">Contact tracing is a tried and tested public health intervention. Alongside testing, it will be an increasingly crucial part of containing the spread of COVID-19 until we have better treatments and ultimately develop a vaccine. </w:t>
      </w:r>
      <w:r>
        <w:t xml:space="preserve">A comprehensive testing and tracing programme </w:t>
      </w:r>
      <w:proofErr w:type="gramStart"/>
      <w:r>
        <w:t>is</w:t>
      </w:r>
      <w:proofErr w:type="gramEnd"/>
      <w:r>
        <w:t xml:space="preserve"> fundamental to easing the current restrictions whilst also containing the spread of COVID-19.</w:t>
      </w:r>
      <w:r w:rsidRPr="2530F5A1">
        <w:rPr>
          <w:i/>
          <w:iCs/>
        </w:rPr>
        <w:t xml:space="preserve"> </w:t>
      </w:r>
      <w:r w:rsidRPr="2530F5A1">
        <w:rPr>
          <w:lang w:val="en-US"/>
        </w:rPr>
        <w:t xml:space="preserve">The DHSC is leading the ‘Test and Trace’ programme. DsPH have been working closely with PHE on the contact tracing element of programme. </w:t>
      </w:r>
    </w:p>
    <w:p w:rsidR="63909182" w:rsidP="2530F5A1" w:rsidRDefault="63909182" w14:paraId="0AE4FDFA" w14:textId="5D2081E5">
      <w:pPr>
        <w:rPr>
          <w:rFonts w:ascii="Calibri" w:hAnsi="Calibri" w:eastAsia="Calibri" w:cs="Calibri"/>
          <w:lang w:val="en-US"/>
        </w:rPr>
      </w:pPr>
      <w:proofErr w:type="spellStart"/>
      <w:r w:rsidRPr="3C2C3895" w:rsidR="63909182">
        <w:rPr>
          <w:rFonts w:ascii="Calibri" w:hAnsi="Calibri" w:eastAsia="Calibri" w:cs="Calibri"/>
          <w:lang w:val="en-US"/>
        </w:rPr>
        <w:t>DsPH</w:t>
      </w:r>
      <w:proofErr w:type="spellEnd"/>
      <w:r w:rsidRPr="3C2C3895" w:rsidR="63909182">
        <w:rPr>
          <w:rFonts w:ascii="Calibri" w:hAnsi="Calibri" w:eastAsia="Calibri" w:cs="Calibri"/>
          <w:lang w:val="en-US"/>
        </w:rPr>
        <w:t xml:space="preserve"> are already developing Local Outbreak Plans - working with valued colleagues in local government, the NHS, PHE and other partners - to deliver a coordinated place-based approach. </w:t>
      </w:r>
      <w:r w:rsidRPr="3C2C3895" w:rsidR="63909182">
        <w:rPr>
          <w:rFonts w:ascii="Calibri" w:hAnsi="Calibri" w:eastAsia="Calibri" w:cs="Calibri"/>
          <w:lang w:val="en-US"/>
        </w:rPr>
        <w:t>The additional funding of £300 million is welcome and we would urge the Government to allocate this directly into public health budgets.</w:t>
      </w:r>
    </w:p>
    <w:p w:rsidR="38FBEBF2" w:rsidP="2530F5A1" w:rsidRDefault="38FBEBF2" w14:paraId="31C93056" w14:textId="663F7DB3">
      <w:pPr>
        <w:rPr>
          <w:rFonts w:ascii="Calibri" w:hAnsi="Calibri" w:eastAsia="Calibri" w:cs="Calibri"/>
          <w:lang w:val="en-US"/>
        </w:rPr>
      </w:pPr>
      <w:r w:rsidRPr="2530F5A1">
        <w:rPr>
          <w:rFonts w:ascii="Calibri" w:hAnsi="Calibri" w:eastAsia="Calibri" w:cs="Calibri"/>
          <w:lang w:val="en-US"/>
        </w:rPr>
        <w:t xml:space="preserve">ADPH recently published our </w:t>
      </w:r>
      <w:hyperlink r:id="rId11">
        <w:r w:rsidRPr="2530F5A1">
          <w:rPr>
            <w:rStyle w:val="Hyperlink"/>
            <w:rFonts w:eastAsia="Calibri" w:cs="Calibri"/>
            <w:lang w:val="en-US"/>
          </w:rPr>
          <w:t>principles</w:t>
        </w:r>
      </w:hyperlink>
      <w:r w:rsidRPr="2530F5A1">
        <w:rPr>
          <w:rFonts w:ascii="Calibri" w:hAnsi="Calibri" w:eastAsia="Calibri" w:cs="Calibri"/>
          <w:lang w:val="en-US"/>
        </w:rPr>
        <w:t xml:space="preserve"> for an effective contact tracing system, including taking a whole system approach, data sharing, integration and sustainability, which we will continue to strongly advocate for at a national level</w:t>
      </w:r>
      <w:r w:rsidRPr="2530F5A1" w:rsidR="7CE56EC5">
        <w:rPr>
          <w:rFonts w:ascii="Calibri" w:hAnsi="Calibri" w:eastAsia="Calibri" w:cs="Calibri"/>
          <w:lang w:val="en-US"/>
        </w:rPr>
        <w:t>,</w:t>
      </w:r>
    </w:p>
    <w:p w:rsidR="00EE4F71" w:rsidP="00EE4F71" w:rsidRDefault="00EE4F71" w14:paraId="2A153426" w14:textId="77777777">
      <w:pPr>
        <w:spacing w:after="0"/>
        <w:rPr>
          <w:b/>
          <w:bCs/>
          <w:lang w:val="en-US"/>
        </w:rPr>
      </w:pPr>
      <w:r>
        <w:rPr>
          <w:b/>
          <w:bCs/>
          <w:lang w:val="en-US"/>
        </w:rPr>
        <w:lastRenderedPageBreak/>
        <w:t xml:space="preserve">Testing </w:t>
      </w:r>
    </w:p>
    <w:p w:rsidR="00EE4F71" w:rsidP="00EE4F71" w:rsidRDefault="00EE4F71" w14:paraId="0A7E6B27" w14:textId="77777777">
      <w:pPr>
        <w:spacing w:after="0"/>
        <w:rPr>
          <w:b/>
          <w:bCs/>
          <w:lang w:val="en-US"/>
        </w:rPr>
      </w:pPr>
    </w:p>
    <w:p w:rsidR="00EE4F71" w:rsidP="00EE4F71" w:rsidRDefault="00EE4F71" w14:paraId="2EE16660" w14:textId="77777777">
      <w:pPr>
        <w:spacing w:after="0"/>
        <w:rPr>
          <w:lang w:val="en-US"/>
        </w:rPr>
      </w:pPr>
      <w:r>
        <w:rPr>
          <w:lang w:val="en-US"/>
        </w:rPr>
        <w:t xml:space="preserve">The National Testing Strategy includes five pillars and an initial target of 100,000 tests per day. </w:t>
      </w:r>
    </w:p>
    <w:p w:rsidR="00EE4F71" w:rsidP="00EE4F71" w:rsidRDefault="00EE4F71" w14:paraId="182134FD" w14:textId="77777777">
      <w:pPr>
        <w:spacing w:after="0"/>
        <w:rPr>
          <w:lang w:val="en-US"/>
        </w:rPr>
      </w:pPr>
    </w:p>
    <w:p w:rsidR="00EE4F71" w:rsidP="00EE4F71" w:rsidRDefault="00EE4F71" w14:paraId="4CFA85A8" w14:textId="77777777">
      <w:pPr>
        <w:spacing w:after="0"/>
        <w:rPr>
          <w:lang w:val="en-US"/>
        </w:rPr>
      </w:pPr>
      <w:r>
        <w:rPr>
          <w:lang w:val="en-US"/>
        </w:rPr>
        <w:t xml:space="preserve">Many DsPH (e.g. in the North East) are working with their local CCG and NHS colleagues to establish coherent approaches to testing and collaboration. </w:t>
      </w:r>
    </w:p>
    <w:p w:rsidR="00EE4F71" w:rsidP="00EE4F71" w:rsidRDefault="00EE4F71" w14:paraId="41E65D44" w14:textId="77777777">
      <w:pPr>
        <w:spacing w:after="0"/>
        <w:rPr>
          <w:lang w:val="en-US"/>
        </w:rPr>
      </w:pPr>
    </w:p>
    <w:p w:rsidRPr="005A1F6D" w:rsidR="00EE4F71" w:rsidP="00EE4F71" w:rsidRDefault="00EE4F71" w14:paraId="3D94CE5F" w14:textId="77777777">
      <w:pPr>
        <w:spacing w:after="0"/>
        <w:rPr>
          <w:lang w:val="en-US"/>
        </w:rPr>
      </w:pPr>
      <w:r>
        <w:rPr>
          <w:lang w:val="en-US"/>
        </w:rPr>
        <w:t>The Government needs to ensure that, alongside its targets for the number of tests that it aims to carry out, there is a clear rationale for why testing matters so that capacity is used effectively. There are four main objectives:</w:t>
      </w:r>
    </w:p>
    <w:p w:rsidR="00EE4F71" w:rsidP="00EE4F71" w:rsidRDefault="00EE4F71" w14:paraId="10BDF618" w14:textId="77777777">
      <w:pPr>
        <w:spacing w:after="0"/>
        <w:rPr>
          <w:b/>
          <w:bCs/>
          <w:lang w:val="en-US"/>
        </w:rPr>
      </w:pPr>
    </w:p>
    <w:p w:rsidRPr="002E1E15" w:rsidR="00EE4F71" w:rsidP="00EE4F71" w:rsidRDefault="00EE4F71" w14:paraId="6296B98E" w14:textId="77777777">
      <w:pPr>
        <w:pStyle w:val="ListParagraph"/>
        <w:numPr>
          <w:ilvl w:val="0"/>
          <w:numId w:val="8"/>
        </w:numPr>
        <w:spacing w:after="0"/>
        <w:rPr>
          <w:b/>
          <w:bCs/>
          <w:lang w:val="en-US" w:eastAsia="en-US"/>
        </w:rPr>
      </w:pPr>
      <w:r w:rsidRPr="002E1E15">
        <w:rPr>
          <w:lang w:val="en-US" w:eastAsia="en-US"/>
        </w:rPr>
        <w:t>Confirmation of diagnosis in clinical management, thereby excluding alternative causes of illness that require different therapies.</w:t>
      </w:r>
    </w:p>
    <w:p w:rsidRPr="002E1E15" w:rsidR="00EE4F71" w:rsidP="00EE4F71" w:rsidRDefault="00EE4F71" w14:paraId="4B595753" w14:textId="77777777">
      <w:pPr>
        <w:pStyle w:val="ListParagraph"/>
        <w:spacing w:after="0"/>
        <w:ind w:left="720"/>
        <w:rPr>
          <w:lang w:val="en-US" w:eastAsia="en-US"/>
        </w:rPr>
      </w:pPr>
    </w:p>
    <w:p w:rsidRPr="002E1E15" w:rsidR="00EE4F71" w:rsidP="00EE4F71" w:rsidRDefault="00EE4F71" w14:paraId="3D77E3B8" w14:textId="77777777">
      <w:pPr>
        <w:pStyle w:val="ListParagraph"/>
        <w:numPr>
          <w:ilvl w:val="0"/>
          <w:numId w:val="8"/>
        </w:numPr>
        <w:spacing w:after="0"/>
        <w:rPr>
          <w:lang w:val="en-US" w:eastAsia="en-US"/>
        </w:rPr>
      </w:pPr>
      <w:r w:rsidRPr="002E1E15">
        <w:rPr>
          <w:lang w:val="en-US" w:eastAsia="en-US"/>
        </w:rPr>
        <w:t xml:space="preserve">Identification of cases of COVID-19 for purposes of specific action to prevent viral spread. </w:t>
      </w:r>
    </w:p>
    <w:p w:rsidRPr="002E1E15" w:rsidR="00EE4F71" w:rsidP="00EE4F71" w:rsidRDefault="00EE4F71" w14:paraId="3B67D825" w14:textId="77777777">
      <w:pPr>
        <w:pStyle w:val="ListParagraph"/>
        <w:rPr>
          <w:b/>
          <w:bCs/>
          <w:lang w:val="en-US" w:eastAsia="en-US"/>
        </w:rPr>
      </w:pPr>
    </w:p>
    <w:p w:rsidRPr="002E1E15" w:rsidR="00EE4F71" w:rsidP="00EE4F71" w:rsidRDefault="00EE4F71" w14:paraId="19DBD62A" w14:textId="77777777">
      <w:pPr>
        <w:pStyle w:val="ListParagraph"/>
        <w:numPr>
          <w:ilvl w:val="0"/>
          <w:numId w:val="8"/>
        </w:numPr>
        <w:spacing w:after="0"/>
        <w:rPr>
          <w:b/>
          <w:bCs/>
          <w:lang w:val="en-US" w:eastAsia="en-US"/>
        </w:rPr>
      </w:pPr>
      <w:r>
        <w:rPr>
          <w:lang w:val="en-US" w:eastAsia="en-US"/>
        </w:rPr>
        <w:t xml:space="preserve">Exclusion </w:t>
      </w:r>
      <w:r w:rsidRPr="002E1E15">
        <w:rPr>
          <w:lang w:val="en-US" w:eastAsia="en-US"/>
        </w:rPr>
        <w:t>of COVID-19 in considering whether workers may be permitted to end self-isolation and return to work</w:t>
      </w:r>
      <w:r>
        <w:rPr>
          <w:lang w:val="en-US" w:eastAsia="en-US"/>
        </w:rPr>
        <w:t xml:space="preserve">. </w:t>
      </w:r>
    </w:p>
    <w:p w:rsidRPr="002E1E15" w:rsidR="00EE4F71" w:rsidP="00EE4F71" w:rsidRDefault="00EE4F71" w14:paraId="21B3D11E" w14:textId="77777777">
      <w:pPr>
        <w:pStyle w:val="ListParagraph"/>
        <w:rPr>
          <w:b/>
          <w:bCs/>
          <w:lang w:val="en-US" w:eastAsia="en-US"/>
        </w:rPr>
      </w:pPr>
    </w:p>
    <w:p w:rsidR="00EE4F71" w:rsidP="00EE4F71" w:rsidRDefault="00EE4F71" w14:paraId="0A6A26CC" w14:textId="77777777">
      <w:pPr>
        <w:pStyle w:val="ListParagraph"/>
        <w:numPr>
          <w:ilvl w:val="0"/>
          <w:numId w:val="8"/>
        </w:numPr>
        <w:spacing w:after="0"/>
        <w:rPr>
          <w:lang w:val="en-US" w:eastAsia="en-US"/>
        </w:rPr>
      </w:pPr>
      <w:r w:rsidRPr="002E1E15">
        <w:rPr>
          <w:lang w:val="en-US" w:eastAsia="en-US"/>
        </w:rPr>
        <w:t>Surveillance to determine circulating disease levels and inform policy decisions for population health measures.</w:t>
      </w:r>
    </w:p>
    <w:p w:rsidR="00EE4F71" w:rsidP="00EE4F71" w:rsidRDefault="00EE4F71" w14:paraId="255F0ABF" w14:textId="77777777">
      <w:pPr>
        <w:spacing w:after="0"/>
        <w:rPr>
          <w:lang w:val="en-US"/>
        </w:rPr>
      </w:pPr>
    </w:p>
    <w:p w:rsidRPr="00ED1D8B" w:rsidR="00EE4F71" w:rsidP="00EE4F71" w:rsidRDefault="00EE4F71" w14:paraId="4A2C026D" w14:textId="77777777">
      <w:pPr>
        <w:spacing w:after="0"/>
        <w:rPr>
          <w:lang w:val="en-US"/>
        </w:rPr>
      </w:pPr>
      <w:r>
        <w:rPr>
          <w:lang w:val="en-US"/>
        </w:rPr>
        <w:t xml:space="preserve">We welcome the extension of testing to council staff, including public health teams, but these tests must be appropriately used, accessible and adequately followed up. </w:t>
      </w:r>
    </w:p>
    <w:p w:rsidR="00EE4F71" w:rsidP="00EE4F71" w:rsidRDefault="00EE4F71" w14:paraId="1565DC8D" w14:textId="77777777">
      <w:pPr>
        <w:spacing w:after="0"/>
        <w:rPr>
          <w:lang w:val="en-US"/>
        </w:rPr>
      </w:pPr>
    </w:p>
    <w:p w:rsidR="00EE4F71" w:rsidP="2530F5A1" w:rsidRDefault="560B49B7" w14:paraId="16C260DD" w14:textId="41076240">
      <w:pPr>
        <w:spacing w:after="0"/>
        <w:rPr>
          <w:lang w:val="en-US"/>
        </w:rPr>
      </w:pPr>
      <w:r w:rsidRPr="2530F5A1">
        <w:rPr>
          <w:lang w:val="en-US"/>
        </w:rPr>
        <w:t>The ADPH is producing a separate Member Briefing on testing</w:t>
      </w:r>
      <w:r w:rsidRPr="2530F5A1" w:rsidR="6F02269C">
        <w:rPr>
          <w:lang w:val="en-US"/>
        </w:rPr>
        <w:t>, which will be available</w:t>
      </w:r>
      <w:r w:rsidRPr="2530F5A1">
        <w:rPr>
          <w:lang w:val="en-US"/>
        </w:rPr>
        <w:t xml:space="preserve"> </w:t>
      </w:r>
      <w:proofErr w:type="gramStart"/>
      <w:r w:rsidRPr="2530F5A1">
        <w:rPr>
          <w:lang w:val="en-US"/>
        </w:rPr>
        <w:t>in the near future</w:t>
      </w:r>
      <w:proofErr w:type="gramEnd"/>
      <w:r w:rsidRPr="2530F5A1">
        <w:rPr>
          <w:lang w:val="en-US"/>
        </w:rPr>
        <w:t xml:space="preserve">. </w:t>
      </w:r>
    </w:p>
    <w:p w:rsidR="00A61FA0" w:rsidP="00EE4F71" w:rsidRDefault="00A61FA0" w14:paraId="6EA61123" w14:textId="77777777">
      <w:pPr>
        <w:spacing w:after="0"/>
        <w:rPr>
          <w:b/>
          <w:bCs/>
          <w:lang w:val="en-US"/>
        </w:rPr>
      </w:pPr>
    </w:p>
    <w:p w:rsidRPr="008045C3" w:rsidR="00A61FA0" w:rsidP="00A61FA0" w:rsidRDefault="00A61FA0" w14:paraId="0B9577E3" w14:textId="77777777">
      <w:pPr>
        <w:spacing w:after="0"/>
        <w:rPr>
          <w:b/>
          <w:bCs/>
          <w:lang w:val="en-US"/>
        </w:rPr>
      </w:pPr>
      <w:r w:rsidRPr="008045C3">
        <w:rPr>
          <w:b/>
          <w:bCs/>
          <w:lang w:val="en-US"/>
        </w:rPr>
        <w:t xml:space="preserve">Social care </w:t>
      </w:r>
    </w:p>
    <w:p w:rsidR="00A61FA0" w:rsidP="00A61FA0" w:rsidRDefault="00A61FA0" w14:paraId="0024FC3C" w14:textId="77777777">
      <w:pPr>
        <w:spacing w:after="0"/>
        <w:rPr>
          <w:lang w:val="en-US"/>
        </w:rPr>
      </w:pPr>
    </w:p>
    <w:p w:rsidR="00A61FA0" w:rsidP="00A61FA0" w:rsidRDefault="00A61FA0" w14:paraId="25ED4930" w14:textId="77777777">
      <w:pPr>
        <w:spacing w:after="0"/>
        <w:rPr>
          <w:lang w:val="en-US"/>
        </w:rPr>
      </w:pPr>
      <w:r>
        <w:rPr>
          <w:lang w:val="en-US"/>
        </w:rPr>
        <w:t xml:space="preserve">DsPH are working closely with Directors of Adult Social Services, to help secure and distribute PPE stocks and translate national guidance for local settings. </w:t>
      </w:r>
    </w:p>
    <w:p w:rsidR="00A61FA0" w:rsidP="00A61FA0" w:rsidRDefault="00A61FA0" w14:paraId="1B1D838B" w14:textId="77777777">
      <w:pPr>
        <w:spacing w:after="0"/>
        <w:rPr>
          <w:lang w:val="en-US"/>
        </w:rPr>
      </w:pPr>
    </w:p>
    <w:p w:rsidR="00A61FA0" w:rsidP="00A61FA0" w:rsidRDefault="00A61FA0" w14:paraId="564C29D6" w14:textId="77777777">
      <w:pPr>
        <w:pStyle w:val="ListParagraph"/>
        <w:numPr>
          <w:ilvl w:val="0"/>
          <w:numId w:val="9"/>
        </w:numPr>
        <w:spacing w:after="0"/>
        <w:rPr>
          <w:lang w:val="en-US" w:eastAsia="en-US"/>
        </w:rPr>
      </w:pPr>
      <w:r>
        <w:rPr>
          <w:lang w:val="en-US" w:eastAsia="en-US"/>
        </w:rPr>
        <w:t>A</w:t>
      </w:r>
      <w:r w:rsidRPr="00B04D63">
        <w:rPr>
          <w:lang w:val="en-US" w:eastAsia="en-US"/>
        </w:rPr>
        <w:t xml:space="preserve">rrangements for accessing PPE </w:t>
      </w:r>
      <w:r>
        <w:rPr>
          <w:lang w:val="en-US" w:eastAsia="en-US"/>
        </w:rPr>
        <w:t xml:space="preserve">continue to be an enormous problem. DsPH regularly report to us that when stocks arrive via Local Resilience </w:t>
      </w:r>
      <w:proofErr w:type="gramStart"/>
      <w:r>
        <w:rPr>
          <w:lang w:val="en-US" w:eastAsia="en-US"/>
        </w:rPr>
        <w:t>Forums</w:t>
      </w:r>
      <w:proofErr w:type="gramEnd"/>
      <w:r>
        <w:rPr>
          <w:lang w:val="en-US" w:eastAsia="en-US"/>
        </w:rPr>
        <w:t xml:space="preserve"> they often fall short of the quantity required and/or of the required type. This remains an urgent priority given the high levels of infection and deaths occurring not just in care homes but in people’s homes.</w:t>
      </w:r>
    </w:p>
    <w:p w:rsidR="00A61FA0" w:rsidP="00A61FA0" w:rsidRDefault="00A61FA0" w14:paraId="42EDD560" w14:textId="77777777">
      <w:pPr>
        <w:pStyle w:val="ListParagraph"/>
        <w:spacing w:after="0"/>
        <w:ind w:left="770"/>
        <w:rPr>
          <w:lang w:val="en-US" w:eastAsia="en-US"/>
        </w:rPr>
      </w:pPr>
      <w:r>
        <w:rPr>
          <w:lang w:val="en-US" w:eastAsia="en-US"/>
        </w:rPr>
        <w:t xml:space="preserve"> </w:t>
      </w:r>
    </w:p>
    <w:p w:rsidR="00A61FA0" w:rsidP="00A61FA0" w:rsidRDefault="00A61FA0" w14:paraId="391FAD86" w14:textId="77777777">
      <w:pPr>
        <w:pStyle w:val="ListParagraph"/>
        <w:numPr>
          <w:ilvl w:val="0"/>
          <w:numId w:val="9"/>
        </w:numPr>
        <w:spacing w:after="0"/>
        <w:rPr>
          <w:lang w:val="en-US" w:eastAsia="en-US"/>
        </w:rPr>
      </w:pPr>
      <w:r w:rsidRPr="00B04D63">
        <w:rPr>
          <w:lang w:val="en-US" w:eastAsia="en-US"/>
        </w:rPr>
        <w:t xml:space="preserve"> </w:t>
      </w:r>
      <w:r>
        <w:rPr>
          <w:lang w:val="en-US" w:eastAsia="en-US"/>
        </w:rPr>
        <w:t xml:space="preserve">The Government needs to launch the Clipper system to support the supply of PPE to social care settings at the earliest opportunity. </w:t>
      </w:r>
    </w:p>
    <w:p w:rsidRPr="00B04D63" w:rsidR="00A61FA0" w:rsidP="00A61FA0" w:rsidRDefault="00A61FA0" w14:paraId="0F50CBDE" w14:textId="77777777">
      <w:pPr>
        <w:pStyle w:val="ListParagraph"/>
        <w:rPr>
          <w:lang w:val="en-US" w:eastAsia="en-US"/>
        </w:rPr>
      </w:pPr>
    </w:p>
    <w:p w:rsidRPr="0038563D" w:rsidR="0038563D" w:rsidP="0038563D" w:rsidRDefault="00A61FA0" w14:paraId="1E69F3A1" w14:textId="021AD57E">
      <w:pPr>
        <w:pStyle w:val="ListParagraph"/>
        <w:numPr>
          <w:ilvl w:val="0"/>
          <w:numId w:val="9"/>
        </w:numPr>
        <w:spacing w:after="0"/>
        <w:rPr>
          <w:lang w:val="en-US" w:eastAsia="en-US"/>
        </w:rPr>
      </w:pPr>
      <w:r w:rsidRPr="00B04D63">
        <w:rPr>
          <w:lang w:val="en-US" w:eastAsia="en-US"/>
        </w:rPr>
        <w:t>The updated PPE guidance from Public Health England around social care setting</w:t>
      </w:r>
      <w:r>
        <w:rPr>
          <w:lang w:val="en-US" w:eastAsia="en-US"/>
        </w:rPr>
        <w:t>s</w:t>
      </w:r>
      <w:r w:rsidRPr="00B04D63">
        <w:rPr>
          <w:lang w:val="en-US" w:eastAsia="en-US"/>
        </w:rPr>
        <w:t xml:space="preserve"> </w:t>
      </w:r>
      <w:r>
        <w:rPr>
          <w:lang w:val="en-US" w:eastAsia="en-US"/>
        </w:rPr>
        <w:t>has been broadly welcomed but the delay to the</w:t>
      </w:r>
      <w:r w:rsidRPr="00B04D63">
        <w:rPr>
          <w:lang w:val="en-US" w:eastAsia="en-US"/>
        </w:rPr>
        <w:t xml:space="preserve"> updated guidance on domiciliary care</w:t>
      </w:r>
      <w:r>
        <w:rPr>
          <w:lang w:val="en-US" w:eastAsia="en-US"/>
        </w:rPr>
        <w:t xml:space="preserve"> is of deep concern. </w:t>
      </w:r>
    </w:p>
    <w:p w:rsidRPr="0038563D" w:rsidR="0038563D" w:rsidP="0038563D" w:rsidRDefault="0038563D" w14:paraId="63285C4D" w14:textId="77777777">
      <w:pPr>
        <w:spacing w:after="0"/>
        <w:rPr>
          <w:lang w:val="en-US"/>
        </w:rPr>
      </w:pPr>
    </w:p>
    <w:p w:rsidRPr="0038563D" w:rsidR="0038563D" w:rsidP="0038563D" w:rsidRDefault="0038563D" w14:paraId="60F6E475" w14:textId="20D14614">
      <w:pPr>
        <w:rPr>
          <w:b/>
          <w:bCs/>
        </w:rPr>
      </w:pPr>
      <w:r w:rsidRPr="0038563D">
        <w:rPr>
          <w:b/>
          <w:bCs/>
        </w:rPr>
        <w:t>Schools</w:t>
      </w:r>
    </w:p>
    <w:p w:rsidRPr="00903179" w:rsidR="0038563D" w:rsidP="0038563D" w:rsidRDefault="0038563D" w14:paraId="7AA73E95" w14:textId="77777777">
      <w:pPr>
        <w:pStyle w:val="ListParagraph"/>
        <w:numPr>
          <w:ilvl w:val="0"/>
          <w:numId w:val="9"/>
        </w:numPr>
      </w:pPr>
      <w:r w:rsidRPr="0038563D">
        <w:rPr>
          <w:rFonts w:eastAsia="Calibri" w:cs="Calibri"/>
        </w:rPr>
        <w:t xml:space="preserve">The Government’s plan for a phased easing of restrictions, including schools, and what happens </w:t>
      </w:r>
      <w:r w:rsidRPr="0038563D">
        <w:rPr>
          <w:rFonts w:eastAsia="Calibri" w:cs="Calibri"/>
        </w:rPr>
        <w:lastRenderedPageBreak/>
        <w:t>when, is contingent on establishing an effective testing and contact tracing system.</w:t>
      </w:r>
    </w:p>
    <w:p w:rsidRPr="0038563D" w:rsidR="0038563D" w:rsidP="0038563D" w:rsidRDefault="0038563D" w14:paraId="7D18D169" w14:textId="77777777">
      <w:pPr>
        <w:pStyle w:val="ListParagraph"/>
        <w:numPr>
          <w:ilvl w:val="0"/>
          <w:numId w:val="9"/>
        </w:numPr>
        <w:rPr>
          <w:rFonts w:eastAsia="Calibri" w:cs="Calibri"/>
        </w:rPr>
      </w:pPr>
      <w:r w:rsidRPr="0038563D">
        <w:rPr>
          <w:rFonts w:eastAsia="Calibri" w:cs="Calibri"/>
        </w:rPr>
        <w:t xml:space="preserve">It is important to remember schools have remained open for vulnerable children and for those whose parents are key workers and have continued to provide support for their pupils at home. </w:t>
      </w:r>
    </w:p>
    <w:p w:rsidR="0038563D" w:rsidP="0038563D" w:rsidRDefault="0038563D" w14:paraId="333881B3" w14:textId="57F854D1">
      <w:pPr>
        <w:pStyle w:val="ListParagraph"/>
        <w:numPr>
          <w:ilvl w:val="0"/>
          <w:numId w:val="9"/>
        </w:numPr>
      </w:pPr>
      <w:r w:rsidRPr="0038563D">
        <w:rPr>
          <w:rFonts w:eastAsia="Calibri" w:cs="Calibri"/>
        </w:rPr>
        <w:t>What we are now talking about is how more children can return to school safely, this needs to be done in a cautious, flexible and planned way with the right support and guidance for schools. While the final decision to open remains with Schools, Directors of Public Health have - and will continue to have - a key role to play in advising schools at a local level.</w:t>
      </w:r>
    </w:p>
    <w:p w:rsidR="0038563D" w:rsidP="00EE4F71" w:rsidRDefault="0038563D" w14:paraId="0505DDB1" w14:textId="77777777">
      <w:pPr>
        <w:spacing w:after="0"/>
        <w:rPr>
          <w:b/>
          <w:bCs/>
          <w:lang w:val="en-US"/>
        </w:rPr>
      </w:pPr>
    </w:p>
    <w:p w:rsidRPr="003911BD" w:rsidR="00EE4F71" w:rsidP="00EE4F71" w:rsidRDefault="00EE4F71" w14:paraId="3A0AC325" w14:textId="5A7CE90F">
      <w:pPr>
        <w:spacing w:after="0"/>
        <w:rPr>
          <w:b/>
          <w:bCs/>
          <w:lang w:val="en-US"/>
        </w:rPr>
      </w:pPr>
      <w:r w:rsidRPr="007503FF">
        <w:rPr>
          <w:b/>
          <w:bCs/>
          <w:highlight w:val="yellow"/>
          <w:lang w:val="en-US"/>
        </w:rPr>
        <w:t>Public mental Health</w:t>
      </w:r>
      <w:r w:rsidRPr="003911BD">
        <w:rPr>
          <w:b/>
          <w:bCs/>
          <w:lang w:val="en-US"/>
        </w:rPr>
        <w:t xml:space="preserve"> </w:t>
      </w:r>
    </w:p>
    <w:p w:rsidRPr="002E1E15" w:rsidR="00EE4F71" w:rsidP="00EE4F71" w:rsidRDefault="00EE4F71" w14:paraId="49ED3982" w14:textId="77777777">
      <w:pPr>
        <w:spacing w:after="0"/>
        <w:rPr>
          <w:lang w:val="en-US"/>
        </w:rPr>
      </w:pPr>
    </w:p>
    <w:p w:rsidRPr="002E1E15" w:rsidR="00EE4F71" w:rsidP="00EE4F71" w:rsidRDefault="00EE4F71" w14:paraId="2CC40C9D" w14:textId="77777777">
      <w:pPr>
        <w:spacing w:after="0"/>
        <w:rPr>
          <w:lang w:val="en-US"/>
        </w:rPr>
      </w:pPr>
      <w:r w:rsidRPr="002E1E15">
        <w:rPr>
          <w:lang w:val="en-US"/>
        </w:rPr>
        <w:t xml:space="preserve">While many people have acted in solidarity in response to COVID-19, and there will be some positive benefits from this community spirit and response, the epidemic will likely have many psychological impacts on the population which </w:t>
      </w:r>
      <w:r>
        <w:rPr>
          <w:lang w:val="en-US"/>
        </w:rPr>
        <w:t>may</w:t>
      </w:r>
      <w:r w:rsidRPr="002E1E15">
        <w:rPr>
          <w:lang w:val="en-US"/>
        </w:rPr>
        <w:t xml:space="preserve"> have a detrimental effect on the short, medium and long-term mental health of some residents</w:t>
      </w:r>
      <w:r>
        <w:rPr>
          <w:lang w:val="en-US"/>
        </w:rPr>
        <w:t xml:space="preserve"> and communities. </w:t>
      </w:r>
    </w:p>
    <w:p w:rsidR="00EE4F71" w:rsidP="00EE4F71" w:rsidRDefault="00EE4F71" w14:paraId="7824BB73" w14:textId="77777777">
      <w:pPr>
        <w:spacing w:after="0"/>
        <w:rPr>
          <w:b/>
          <w:bCs/>
          <w:lang w:val="en-US"/>
        </w:rPr>
      </w:pPr>
    </w:p>
    <w:p w:rsidRPr="000E00D1" w:rsidR="00EE4F71" w:rsidP="00EE4F71" w:rsidRDefault="00EE4F71" w14:paraId="34381181" w14:textId="77777777">
      <w:pPr>
        <w:pStyle w:val="ListParagraph"/>
        <w:numPr>
          <w:ilvl w:val="0"/>
          <w:numId w:val="6"/>
        </w:numPr>
        <w:spacing w:after="0"/>
        <w:jc w:val="both"/>
        <w:rPr>
          <w:lang w:val="en-US" w:eastAsia="en-US"/>
        </w:rPr>
      </w:pPr>
      <w:r w:rsidRPr="000E00D1">
        <w:rPr>
          <w:lang w:val="en-US" w:eastAsia="en-US"/>
        </w:rPr>
        <w:t xml:space="preserve">Effective responses to the public mental health and wellbeing impact of Covid-19 will be essential to sustain the measures necessary to contain the virus and aid recovery. </w:t>
      </w:r>
    </w:p>
    <w:p w:rsidR="00EE4F71" w:rsidP="00EE4F71" w:rsidRDefault="00EE4F71" w14:paraId="66045CE6" w14:textId="77777777">
      <w:pPr>
        <w:pStyle w:val="ListParagraph"/>
        <w:spacing w:after="0"/>
        <w:ind w:left="720"/>
        <w:jc w:val="both"/>
        <w:rPr>
          <w:b/>
          <w:bCs/>
          <w:lang w:val="en-US" w:eastAsia="en-US"/>
        </w:rPr>
      </w:pPr>
    </w:p>
    <w:p w:rsidRPr="009072D0" w:rsidR="00EE4F71" w:rsidP="00EE4F71" w:rsidRDefault="008950EC" w14:paraId="506CD7FE" w14:textId="12E00734">
      <w:pPr>
        <w:pStyle w:val="ListParagraph"/>
        <w:numPr>
          <w:ilvl w:val="0"/>
          <w:numId w:val="6"/>
        </w:numPr>
        <w:spacing w:after="0"/>
        <w:jc w:val="both"/>
        <w:rPr>
          <w:b/>
          <w:bCs/>
          <w:lang w:val="en-US" w:eastAsia="en-US"/>
        </w:rPr>
      </w:pPr>
      <w:r>
        <w:rPr>
          <w:lang w:val="en-US" w:eastAsia="en-US"/>
        </w:rPr>
        <w:t>DsPH</w:t>
      </w:r>
      <w:r w:rsidRPr="009072D0" w:rsidR="00EE4F71">
        <w:rPr>
          <w:lang w:val="en-US" w:eastAsia="en-US"/>
        </w:rPr>
        <w:t xml:space="preserve"> are leading the local public mental health and wellbeing response. In a </w:t>
      </w:r>
      <w:hyperlink w:history="1" r:id="rId12">
        <w:r w:rsidRPr="00856E9A" w:rsidR="00EE4F71">
          <w:rPr>
            <w:rStyle w:val="Hyperlink"/>
            <w:lang w:eastAsia="en-US"/>
          </w:rPr>
          <w:t>joint briefing</w:t>
        </w:r>
      </w:hyperlink>
      <w:r w:rsidRPr="009072D0" w:rsidR="00EE4F71">
        <w:rPr>
          <w:lang w:val="en-US" w:eastAsia="en-US"/>
        </w:rPr>
        <w:t xml:space="preserve"> with the LGA for </w:t>
      </w:r>
      <w:r>
        <w:rPr>
          <w:lang w:val="en-US" w:eastAsia="en-US"/>
        </w:rPr>
        <w:t>DsPH</w:t>
      </w:r>
      <w:r w:rsidRPr="009072D0" w:rsidR="00EE4F71">
        <w:rPr>
          <w:lang w:val="en-US" w:eastAsia="en-US"/>
        </w:rPr>
        <w:t xml:space="preserve"> we have set </w:t>
      </w:r>
      <w:r w:rsidR="00EE4F71">
        <w:rPr>
          <w:lang w:val="en-US" w:eastAsia="en-US"/>
        </w:rPr>
        <w:t>out four key principles for to support local action. These are:</w:t>
      </w:r>
      <w:r w:rsidRPr="000E00D1" w:rsidR="00EE4F71">
        <w:t xml:space="preserve"> </w:t>
      </w:r>
      <w:r w:rsidR="00EE4F71">
        <w:t xml:space="preserve">taking a </w:t>
      </w:r>
      <w:r w:rsidR="00EE4F71">
        <w:rPr>
          <w:lang w:val="en-US" w:eastAsia="en-US"/>
        </w:rPr>
        <w:t>w</w:t>
      </w:r>
      <w:r w:rsidRPr="000E00D1" w:rsidR="00EE4F71">
        <w:rPr>
          <w:lang w:val="en-US" w:eastAsia="en-US"/>
        </w:rPr>
        <w:t>hole system approach</w:t>
      </w:r>
      <w:r w:rsidR="00EE4F71">
        <w:rPr>
          <w:lang w:val="en-US" w:eastAsia="en-US"/>
        </w:rPr>
        <w:t>, thinking p</w:t>
      </w:r>
      <w:r w:rsidRPr="000E00D1" w:rsidR="00EE4F71">
        <w:rPr>
          <w:lang w:val="en-US" w:eastAsia="en-US"/>
        </w:rPr>
        <w:t xml:space="preserve">opulation wide and </w:t>
      </w:r>
      <w:r w:rsidR="00EE4F71">
        <w:rPr>
          <w:lang w:val="en-US" w:eastAsia="en-US"/>
        </w:rPr>
        <w:t xml:space="preserve">over the </w:t>
      </w:r>
      <w:r w:rsidRPr="000E00D1" w:rsidR="00EE4F71">
        <w:rPr>
          <w:lang w:val="en-US" w:eastAsia="en-US"/>
        </w:rPr>
        <w:t>life</w:t>
      </w:r>
      <w:r w:rsidR="00EE4F71">
        <w:rPr>
          <w:lang w:val="en-US" w:eastAsia="en-US"/>
        </w:rPr>
        <w:t xml:space="preserve"> </w:t>
      </w:r>
      <w:r w:rsidRPr="000E00D1" w:rsidR="00EE4F71">
        <w:rPr>
          <w:lang w:val="en-US" w:eastAsia="en-US"/>
        </w:rPr>
        <w:t>course</w:t>
      </w:r>
      <w:r w:rsidR="00EE4F71">
        <w:rPr>
          <w:lang w:val="en-US" w:eastAsia="en-US"/>
        </w:rPr>
        <w:t>, b</w:t>
      </w:r>
      <w:r w:rsidRPr="000E00D1" w:rsidR="00EE4F71">
        <w:rPr>
          <w:lang w:val="en-US" w:eastAsia="en-US"/>
        </w:rPr>
        <w:t>uild</w:t>
      </w:r>
      <w:r w:rsidR="00EE4F71">
        <w:rPr>
          <w:lang w:val="en-US" w:eastAsia="en-US"/>
        </w:rPr>
        <w:t>ing</w:t>
      </w:r>
      <w:r w:rsidRPr="000E00D1" w:rsidR="00EE4F71">
        <w:rPr>
          <w:lang w:val="en-US" w:eastAsia="en-US"/>
        </w:rPr>
        <w:t xml:space="preserve"> on existing arrangements </w:t>
      </w:r>
      <w:r w:rsidR="00EE4F71">
        <w:rPr>
          <w:lang w:val="en-US" w:eastAsia="en-US"/>
        </w:rPr>
        <w:t>and good communication.</w:t>
      </w:r>
    </w:p>
    <w:p w:rsidRPr="008045C3" w:rsidR="00EE4F71" w:rsidP="00EE4F71" w:rsidRDefault="00EE4F71" w14:paraId="6C9569DE" w14:textId="1D06090A">
      <w:pPr>
        <w:spacing w:after="0"/>
        <w:rPr>
          <w:lang w:val="en-US"/>
        </w:rPr>
      </w:pPr>
    </w:p>
    <w:p w:rsidR="00EE4F71" w:rsidP="00EE4F71" w:rsidRDefault="00EE4F71" w14:paraId="3B0B6608" w14:textId="77777777">
      <w:pPr>
        <w:spacing w:after="0"/>
        <w:rPr>
          <w:b/>
          <w:bCs/>
          <w:lang w:val="en-US"/>
        </w:rPr>
      </w:pPr>
      <w:r w:rsidRPr="008045C3">
        <w:rPr>
          <w:b/>
          <w:bCs/>
          <w:lang w:val="en-US"/>
        </w:rPr>
        <w:t xml:space="preserve">Parks </w:t>
      </w:r>
    </w:p>
    <w:p w:rsidR="00EE4F71" w:rsidP="00EE4F71" w:rsidRDefault="00EE4F71" w14:paraId="3F560877" w14:textId="77777777">
      <w:pPr>
        <w:spacing w:after="0"/>
        <w:rPr>
          <w:b/>
          <w:bCs/>
          <w:lang w:val="en-US"/>
        </w:rPr>
      </w:pPr>
    </w:p>
    <w:p w:rsidRPr="007C1BF1" w:rsidR="00EE4F71" w:rsidP="00EE4F71" w:rsidRDefault="00EE4F71" w14:paraId="628F829D" w14:textId="7B82A0EE">
      <w:pPr>
        <w:spacing w:after="0"/>
        <w:rPr>
          <w:lang w:val="en-US"/>
        </w:rPr>
      </w:pPr>
      <w:r>
        <w:rPr>
          <w:lang w:val="en-US"/>
        </w:rPr>
        <w:t xml:space="preserve">Parks and green spaces are essential in supporting the physical and mental wellbeing of communities. People must follow social distancing advice so </w:t>
      </w:r>
      <w:r w:rsidR="0020377E">
        <w:rPr>
          <w:lang w:val="en-US"/>
        </w:rPr>
        <w:t xml:space="preserve">that </w:t>
      </w:r>
      <w:r>
        <w:rPr>
          <w:lang w:val="en-US"/>
        </w:rPr>
        <w:t xml:space="preserve">these can remain open. </w:t>
      </w:r>
    </w:p>
    <w:p w:rsidRPr="008045C3" w:rsidR="00EE4F71" w:rsidP="00EE4F71" w:rsidRDefault="00EE4F71" w14:paraId="3692A285" w14:textId="77777777">
      <w:pPr>
        <w:pStyle w:val="ListParagraph"/>
        <w:spacing w:after="0"/>
        <w:ind w:left="720"/>
        <w:rPr>
          <w:lang w:val="en-US" w:eastAsia="en-US"/>
        </w:rPr>
      </w:pPr>
    </w:p>
    <w:p w:rsidR="00EE4F71" w:rsidP="00EE4F71" w:rsidRDefault="00EE4F71" w14:paraId="327187DB" w14:textId="77777777">
      <w:pPr>
        <w:spacing w:after="0"/>
        <w:rPr>
          <w:b/>
          <w:bCs/>
          <w:lang w:val="en-US"/>
        </w:rPr>
      </w:pPr>
      <w:r>
        <w:rPr>
          <w:b/>
          <w:bCs/>
          <w:lang w:val="en-US"/>
        </w:rPr>
        <w:t>Deaths and f</w:t>
      </w:r>
      <w:r w:rsidRPr="008045C3">
        <w:rPr>
          <w:b/>
          <w:bCs/>
          <w:lang w:val="en-US"/>
        </w:rPr>
        <w:t xml:space="preserve">unerals </w:t>
      </w:r>
    </w:p>
    <w:p w:rsidR="00EE4F71" w:rsidP="00EE4F71" w:rsidRDefault="00EE4F71" w14:paraId="4875B799" w14:textId="77777777">
      <w:pPr>
        <w:spacing w:after="0"/>
        <w:rPr>
          <w:b/>
          <w:bCs/>
          <w:lang w:val="en-US"/>
        </w:rPr>
      </w:pPr>
    </w:p>
    <w:p w:rsidR="00EE4F71" w:rsidP="00EE4F71" w:rsidRDefault="00EE4F71" w14:paraId="671136A8" w14:textId="77777777">
      <w:pPr>
        <w:spacing w:after="0"/>
        <w:rPr>
          <w:lang w:val="en-US"/>
        </w:rPr>
      </w:pPr>
      <w:r w:rsidRPr="002E6D78">
        <w:rPr>
          <w:lang w:val="en-US"/>
        </w:rPr>
        <w:t>DsPH, working with council colleagues and Local Resilience Forums, are working hard to model and deliver the necessary mortuary capacity. There is a strong commitment to ensure that people can be laid to rest with dignity and that, as far as is possible within social distancing guidelines, family and friends are able to pay their respects.</w:t>
      </w:r>
    </w:p>
    <w:p w:rsidR="00EE4F71" w:rsidP="00EE4F71" w:rsidRDefault="00EE4F71" w14:paraId="1A6AAF37" w14:textId="77777777">
      <w:pPr>
        <w:spacing w:after="0"/>
        <w:rPr>
          <w:b/>
          <w:bCs/>
          <w:lang w:val="en-US"/>
        </w:rPr>
      </w:pPr>
    </w:p>
    <w:p w:rsidRPr="00AD0D29" w:rsidR="00EE4F71" w:rsidP="00EE4F71" w:rsidRDefault="00EE4F71" w14:paraId="09D07ED7" w14:textId="77777777">
      <w:pPr>
        <w:spacing w:after="0"/>
        <w:rPr>
          <w:b/>
          <w:bCs/>
          <w:lang w:val="en-US"/>
        </w:rPr>
      </w:pPr>
      <w:r>
        <w:rPr>
          <w:b/>
          <w:bCs/>
          <w:lang w:val="en-US"/>
        </w:rPr>
        <w:t>Waste</w:t>
      </w:r>
    </w:p>
    <w:p w:rsidR="00EE4F71" w:rsidP="00EE4F71" w:rsidRDefault="00EE4F71" w14:paraId="1E9EB7E1" w14:textId="77777777">
      <w:pPr>
        <w:tabs>
          <w:tab w:val="left" w:pos="4208"/>
        </w:tabs>
        <w:spacing w:after="0"/>
        <w:rPr>
          <w:lang w:val="en-US"/>
        </w:rPr>
      </w:pPr>
    </w:p>
    <w:p w:rsidR="00EE4F71" w:rsidP="00EE4F71" w:rsidRDefault="00EE4F71" w14:paraId="4A00E7F0" w14:textId="77777777">
      <w:pPr>
        <w:tabs>
          <w:tab w:val="left" w:pos="4208"/>
        </w:tabs>
        <w:spacing w:after="0"/>
        <w:rPr>
          <w:lang w:val="en-US"/>
        </w:rPr>
      </w:pPr>
      <w:r>
        <w:rPr>
          <w:lang w:val="en-US"/>
        </w:rPr>
        <w:t xml:space="preserve">DsPH continue to provide advice to colleagues in waste collection services so that they can continue to carry out their vital work safely during this pandemic. </w:t>
      </w:r>
    </w:p>
    <w:p w:rsidR="00EE4F71" w:rsidP="00EE4F71" w:rsidRDefault="00EE4F71" w14:paraId="1FCEBAAE" w14:textId="77777777">
      <w:pPr>
        <w:tabs>
          <w:tab w:val="left" w:pos="4208"/>
        </w:tabs>
        <w:spacing w:after="0"/>
        <w:rPr>
          <w:lang w:val="en-US"/>
        </w:rPr>
      </w:pPr>
    </w:p>
    <w:p w:rsidRPr="00F920BF" w:rsidR="00EE4F71" w:rsidP="00EE4F71" w:rsidRDefault="00EE4F71" w14:paraId="58DC6C8B" w14:textId="77777777">
      <w:pPr>
        <w:spacing w:after="0"/>
        <w:rPr>
          <w:b/>
          <w:bCs/>
          <w:lang w:val="en-US"/>
        </w:rPr>
      </w:pPr>
      <w:r>
        <w:rPr>
          <w:b/>
          <w:bCs/>
          <w:lang w:val="en-US"/>
        </w:rPr>
        <w:t>Asks of the</w:t>
      </w:r>
      <w:r w:rsidRPr="00F920BF">
        <w:rPr>
          <w:b/>
          <w:bCs/>
          <w:lang w:val="en-US"/>
        </w:rPr>
        <w:t xml:space="preserve"> Government </w:t>
      </w:r>
    </w:p>
    <w:p w:rsidR="00EE4F71" w:rsidP="00EE4F71" w:rsidRDefault="00EE4F71" w14:paraId="1B3CE757" w14:textId="77777777">
      <w:pPr>
        <w:spacing w:after="0"/>
        <w:rPr>
          <w:lang w:val="en-US"/>
        </w:rPr>
      </w:pPr>
    </w:p>
    <w:p w:rsidRPr="002E1E15" w:rsidR="00EE4F71" w:rsidP="00EE4F71" w:rsidRDefault="008950EC" w14:paraId="0A83BC17" w14:textId="4F41DC64">
      <w:pPr>
        <w:spacing w:after="0"/>
        <w:rPr>
          <w:lang w:val="en-US"/>
        </w:rPr>
      </w:pPr>
      <w:r>
        <w:rPr>
          <w:lang w:val="en-US"/>
        </w:rPr>
        <w:t>DsPH</w:t>
      </w:r>
      <w:r w:rsidRPr="002E1E15" w:rsidR="00EE4F71">
        <w:rPr>
          <w:lang w:val="en-US"/>
        </w:rPr>
        <w:t xml:space="preserve"> are focused on the day job. We have a clear role to play and we are working relentlessly to ensure that the local response is a</w:t>
      </w:r>
      <w:r w:rsidR="00EE4F71">
        <w:rPr>
          <w:lang w:val="en-US"/>
        </w:rPr>
        <w:t>s</w:t>
      </w:r>
      <w:r w:rsidRPr="002E1E15" w:rsidR="00EE4F71">
        <w:rPr>
          <w:lang w:val="en-US"/>
        </w:rPr>
        <w:t xml:space="preserve"> effective as possible in our communities. </w:t>
      </w:r>
    </w:p>
    <w:p w:rsidRPr="002E1E15" w:rsidR="00EE4F71" w:rsidP="00EE4F71" w:rsidRDefault="00EE4F71" w14:paraId="7AD37CC4" w14:textId="77777777">
      <w:pPr>
        <w:spacing w:after="0"/>
        <w:rPr>
          <w:lang w:val="en-US"/>
        </w:rPr>
      </w:pPr>
    </w:p>
    <w:p w:rsidRPr="002E1E15" w:rsidR="00EE4F71" w:rsidP="00EE4F71" w:rsidRDefault="00EE4F71" w14:paraId="1E66772C" w14:textId="77777777">
      <w:pPr>
        <w:spacing w:after="0"/>
        <w:rPr>
          <w:lang w:val="en-US"/>
        </w:rPr>
      </w:pPr>
      <w:r w:rsidRPr="002E1E15">
        <w:rPr>
          <w:lang w:val="en-US"/>
        </w:rPr>
        <w:t xml:space="preserve">From the ADPH perspective, the Government should </w:t>
      </w:r>
      <w:r>
        <w:rPr>
          <w:lang w:val="en-US"/>
        </w:rPr>
        <w:t xml:space="preserve">concentrate </w:t>
      </w:r>
      <w:r w:rsidRPr="002E1E15">
        <w:rPr>
          <w:lang w:val="en-US"/>
        </w:rPr>
        <w:t>on three areas moving forward:</w:t>
      </w:r>
    </w:p>
    <w:p w:rsidRPr="002E1E15" w:rsidR="00EE4F71" w:rsidP="00EE4F71" w:rsidRDefault="00EE4F71" w14:paraId="5BF69226" w14:textId="77777777">
      <w:pPr>
        <w:spacing w:after="0"/>
        <w:rPr>
          <w:lang w:val="en-US"/>
        </w:rPr>
      </w:pPr>
    </w:p>
    <w:p w:rsidRPr="002E1E15" w:rsidR="00EE4F71" w:rsidP="00EE4F71" w:rsidRDefault="00EE4F71" w14:paraId="1D519A5E" w14:textId="77777777">
      <w:pPr>
        <w:pStyle w:val="ListParagraph"/>
        <w:numPr>
          <w:ilvl w:val="0"/>
          <w:numId w:val="4"/>
        </w:numPr>
        <w:spacing w:after="0"/>
        <w:rPr>
          <w:lang w:val="en-US" w:eastAsia="en-US"/>
        </w:rPr>
      </w:pPr>
      <w:r w:rsidRPr="002E1E15">
        <w:rPr>
          <w:lang w:val="en-US" w:eastAsia="en-US"/>
        </w:rPr>
        <w:t xml:space="preserve">Bridging the local/national divide. </w:t>
      </w:r>
      <w:r>
        <w:rPr>
          <w:lang w:val="en-US" w:eastAsia="en-US"/>
        </w:rPr>
        <w:t xml:space="preserve">Making sure </w:t>
      </w:r>
      <w:r w:rsidRPr="002E1E15">
        <w:rPr>
          <w:lang w:val="en-US" w:eastAsia="en-US"/>
        </w:rPr>
        <w:t xml:space="preserve">that the experience and knowledge of councils and DsPH is fully </w:t>
      </w:r>
      <w:proofErr w:type="spellStart"/>
      <w:r w:rsidRPr="002E1E15">
        <w:rPr>
          <w:lang w:val="en-US" w:eastAsia="en-US"/>
        </w:rPr>
        <w:t>utilised</w:t>
      </w:r>
      <w:proofErr w:type="spellEnd"/>
      <w:r w:rsidRPr="002E1E15">
        <w:rPr>
          <w:lang w:val="en-US" w:eastAsia="en-US"/>
        </w:rPr>
        <w:t xml:space="preserve"> when the Government is compiling guidance and developing policy so </w:t>
      </w:r>
      <w:r>
        <w:rPr>
          <w:lang w:val="en-US" w:eastAsia="en-US"/>
        </w:rPr>
        <w:t xml:space="preserve">that </w:t>
      </w:r>
      <w:r w:rsidRPr="002E1E15">
        <w:rPr>
          <w:lang w:val="en-US" w:eastAsia="en-US"/>
        </w:rPr>
        <w:t xml:space="preserve">it works on the ground. </w:t>
      </w:r>
    </w:p>
    <w:p w:rsidRPr="002E1E15" w:rsidR="00EE4F71" w:rsidP="00EE4F71" w:rsidRDefault="00EE4F71" w14:paraId="5E9BC477" w14:textId="77777777">
      <w:pPr>
        <w:pStyle w:val="ListParagraph"/>
        <w:spacing w:after="0"/>
        <w:ind w:left="720"/>
        <w:rPr>
          <w:lang w:val="en-US" w:eastAsia="en-US"/>
        </w:rPr>
      </w:pPr>
    </w:p>
    <w:p w:rsidRPr="002E1E15" w:rsidR="00EE4F71" w:rsidP="00EE4F71" w:rsidRDefault="00EE4F71" w14:paraId="18CCEB8A" w14:textId="77777777">
      <w:pPr>
        <w:pStyle w:val="ListParagraph"/>
        <w:numPr>
          <w:ilvl w:val="0"/>
          <w:numId w:val="4"/>
        </w:numPr>
        <w:spacing w:after="0"/>
        <w:rPr>
          <w:lang w:val="en-US" w:eastAsia="en-US"/>
        </w:rPr>
      </w:pPr>
      <w:r w:rsidRPr="002E1E15">
        <w:rPr>
          <w:lang w:val="en-US" w:eastAsia="en-US"/>
        </w:rPr>
        <w:t>Delivering a joined-up national response. Challenges with testing and PPE have demonstrated how essential it is for all government departments to be taking a coherent approach to designing, implementing and overseeing plans. This includes consider</w:t>
      </w:r>
      <w:r>
        <w:rPr>
          <w:lang w:val="en-US" w:eastAsia="en-US"/>
        </w:rPr>
        <w:t xml:space="preserve">ation </w:t>
      </w:r>
      <w:r w:rsidRPr="002E1E15">
        <w:rPr>
          <w:lang w:val="en-US" w:eastAsia="en-US"/>
        </w:rPr>
        <w:t>of economic and social recovery</w:t>
      </w:r>
      <w:r>
        <w:rPr>
          <w:lang w:val="en-US" w:eastAsia="en-US"/>
        </w:rPr>
        <w:t>. Th</w:t>
      </w:r>
      <w:r w:rsidRPr="002E1E15">
        <w:rPr>
          <w:lang w:val="en-US" w:eastAsia="en-US"/>
        </w:rPr>
        <w:t>rough its response to the Prevention Green Paper th</w:t>
      </w:r>
      <w:r>
        <w:rPr>
          <w:lang w:val="en-US" w:eastAsia="en-US"/>
        </w:rPr>
        <w:t>e</w:t>
      </w:r>
      <w:r w:rsidRPr="002E1E15">
        <w:rPr>
          <w:lang w:val="en-US" w:eastAsia="en-US"/>
        </w:rPr>
        <w:t xml:space="preserve"> Government </w:t>
      </w:r>
      <w:r>
        <w:rPr>
          <w:lang w:val="en-US" w:eastAsia="en-US"/>
        </w:rPr>
        <w:t>should</w:t>
      </w:r>
      <w:r w:rsidRPr="002E1E15">
        <w:rPr>
          <w:lang w:val="en-US" w:eastAsia="en-US"/>
        </w:rPr>
        <w:t xml:space="preserve"> set out a bold approach to addressing health inequalities</w:t>
      </w:r>
      <w:r>
        <w:rPr>
          <w:lang w:val="en-US" w:eastAsia="en-US"/>
        </w:rPr>
        <w:t xml:space="preserve"> which have been once again starkly exposed and amplified. </w:t>
      </w:r>
    </w:p>
    <w:p w:rsidRPr="002E1E15" w:rsidR="00EE4F71" w:rsidP="00EE4F71" w:rsidRDefault="00EE4F71" w14:paraId="0874CC9A" w14:textId="77777777">
      <w:pPr>
        <w:spacing w:after="0"/>
        <w:rPr>
          <w:lang w:val="en-US"/>
        </w:rPr>
      </w:pPr>
    </w:p>
    <w:p w:rsidRPr="002E1E15" w:rsidR="00EE4F71" w:rsidP="00EE4F71" w:rsidRDefault="00EE4F71" w14:paraId="03D9DDA8" w14:textId="77777777">
      <w:pPr>
        <w:pStyle w:val="ListParagraph"/>
        <w:numPr>
          <w:ilvl w:val="0"/>
          <w:numId w:val="4"/>
        </w:numPr>
        <w:spacing w:after="0"/>
        <w:rPr>
          <w:lang w:val="en-US" w:eastAsia="en-US"/>
        </w:rPr>
      </w:pPr>
      <w:r w:rsidRPr="002E1E15">
        <w:rPr>
          <w:lang w:val="en-US" w:eastAsia="en-US"/>
        </w:rPr>
        <w:t xml:space="preserve">Providing the right level of resource. It is critical that the government allocates further funding to local councils, and specifically public health teams, to ensure that capacity exists to manage not just the immediate response to COVID-19 but the long-term implications. </w:t>
      </w:r>
    </w:p>
    <w:p w:rsidR="00EE4F71" w:rsidP="00EE4F71" w:rsidRDefault="00EE4F71" w14:paraId="581921DD" w14:textId="77777777">
      <w:pPr>
        <w:spacing w:after="0"/>
        <w:rPr>
          <w:lang w:val="en-US"/>
        </w:rPr>
      </w:pPr>
    </w:p>
    <w:p w:rsidRPr="003911BD" w:rsidR="00EE4F71" w:rsidP="00EE4F71" w:rsidRDefault="00EE4F71" w14:paraId="5734FF17" w14:textId="77777777">
      <w:pPr>
        <w:spacing w:after="0"/>
        <w:rPr>
          <w:b/>
          <w:bCs/>
          <w:lang w:val="en-US"/>
        </w:rPr>
      </w:pPr>
      <w:r w:rsidRPr="003911BD">
        <w:rPr>
          <w:b/>
          <w:bCs/>
          <w:lang w:val="en-US"/>
        </w:rPr>
        <w:t>Lessons learned</w:t>
      </w:r>
    </w:p>
    <w:p w:rsidRPr="002E1E15" w:rsidR="00EE4F71" w:rsidP="00EE4F71" w:rsidRDefault="00EE4F71" w14:paraId="272AED19" w14:textId="77777777">
      <w:pPr>
        <w:spacing w:after="0"/>
        <w:rPr>
          <w:lang w:val="en-US"/>
        </w:rPr>
      </w:pPr>
    </w:p>
    <w:p w:rsidRPr="002E1E15" w:rsidR="00EE4F71" w:rsidP="00EE4F71" w:rsidRDefault="00EE4F71" w14:paraId="34D6A675" w14:textId="0F0E0FDD">
      <w:pPr>
        <w:spacing w:after="0"/>
        <w:rPr>
          <w:lang w:val="en-US"/>
        </w:rPr>
      </w:pPr>
      <w:r w:rsidRPr="002E1E15">
        <w:rPr>
          <w:lang w:val="en-US"/>
        </w:rPr>
        <w:t xml:space="preserve">The ADPH is incredibly proud of the work of </w:t>
      </w:r>
      <w:r w:rsidR="008950EC">
        <w:rPr>
          <w:lang w:val="en-US"/>
        </w:rPr>
        <w:t>DsPH</w:t>
      </w:r>
      <w:r w:rsidRPr="002E1E15">
        <w:rPr>
          <w:lang w:val="en-US"/>
        </w:rPr>
        <w:t xml:space="preserve">, councils, the four UK Chief Medical Officers, the UK Government and devolved nations, the NHS, Public Health England, the Local Government Association and many other agencies and organisations. </w:t>
      </w:r>
    </w:p>
    <w:p w:rsidR="00EE4F71" w:rsidP="00EE4F71" w:rsidRDefault="00EE4F71" w14:paraId="29BCB032" w14:textId="77777777">
      <w:pPr>
        <w:spacing w:after="0"/>
        <w:rPr>
          <w:lang w:val="en-US"/>
        </w:rPr>
      </w:pPr>
    </w:p>
    <w:p w:rsidR="00EE4F71" w:rsidP="00EE4F71" w:rsidRDefault="00EE4F71" w14:paraId="46C031E6" w14:textId="77777777">
      <w:pPr>
        <w:pStyle w:val="ListParagraph"/>
        <w:numPr>
          <w:ilvl w:val="0"/>
          <w:numId w:val="5"/>
        </w:numPr>
        <w:spacing w:after="0"/>
        <w:rPr>
          <w:lang w:val="en-US" w:eastAsia="en-US"/>
        </w:rPr>
      </w:pPr>
      <w:r w:rsidRPr="00286F28">
        <w:rPr>
          <w:lang w:val="en-US" w:eastAsia="en-US"/>
        </w:rPr>
        <w:t xml:space="preserve">There are </w:t>
      </w:r>
      <w:r>
        <w:rPr>
          <w:lang w:val="en-US" w:eastAsia="en-US"/>
        </w:rPr>
        <w:t xml:space="preserve">immense </w:t>
      </w:r>
      <w:r w:rsidRPr="00286F28">
        <w:rPr>
          <w:lang w:val="en-US" w:eastAsia="en-US"/>
        </w:rPr>
        <w:t xml:space="preserve">challenges and </w:t>
      </w:r>
      <w:r>
        <w:rPr>
          <w:lang w:val="en-US" w:eastAsia="en-US"/>
        </w:rPr>
        <w:t>strong collaboration is essential</w:t>
      </w:r>
      <w:r w:rsidRPr="00286F28">
        <w:rPr>
          <w:lang w:val="en-US" w:eastAsia="en-US"/>
        </w:rPr>
        <w:t>. In time we will need to consider what has worked well and what has</w:t>
      </w:r>
      <w:r>
        <w:rPr>
          <w:lang w:val="en-US" w:eastAsia="en-US"/>
        </w:rPr>
        <w:t xml:space="preserve"> no</w:t>
      </w:r>
      <w:r w:rsidRPr="00286F28">
        <w:rPr>
          <w:lang w:val="en-US" w:eastAsia="en-US"/>
        </w:rPr>
        <w:t xml:space="preserve">t – and strengthen the system for the future. </w:t>
      </w:r>
      <w:r>
        <w:rPr>
          <w:lang w:val="en-US" w:eastAsia="en-US"/>
        </w:rPr>
        <w:t xml:space="preserve">But we need to </w:t>
      </w:r>
      <w:proofErr w:type="spellStart"/>
      <w:r>
        <w:rPr>
          <w:lang w:val="en-US" w:eastAsia="en-US"/>
        </w:rPr>
        <w:t>recognise</w:t>
      </w:r>
      <w:proofErr w:type="spellEnd"/>
      <w:r>
        <w:rPr>
          <w:lang w:val="en-US" w:eastAsia="en-US"/>
        </w:rPr>
        <w:t xml:space="preserve"> that we are still in the early stages of this pandemic. </w:t>
      </w:r>
    </w:p>
    <w:p w:rsidR="00EE4F71" w:rsidP="00EE4F71" w:rsidRDefault="00EE4F71" w14:paraId="5647262F" w14:textId="77777777">
      <w:pPr>
        <w:pStyle w:val="ListParagraph"/>
        <w:spacing w:after="0"/>
        <w:ind w:left="720"/>
        <w:rPr>
          <w:lang w:val="en-US" w:eastAsia="en-US"/>
        </w:rPr>
      </w:pPr>
    </w:p>
    <w:p w:rsidR="00EE4F71" w:rsidP="00EE4F71" w:rsidRDefault="00EE4F71" w14:paraId="0290CCEB" w14:textId="2F3E78B9">
      <w:pPr>
        <w:pStyle w:val="ListParagraph"/>
        <w:numPr>
          <w:ilvl w:val="0"/>
          <w:numId w:val="5"/>
        </w:numPr>
        <w:spacing w:after="0"/>
        <w:rPr>
          <w:lang w:val="en-US" w:eastAsia="en-US"/>
        </w:rPr>
      </w:pPr>
      <w:r>
        <w:rPr>
          <w:lang w:val="en-US" w:eastAsia="en-US"/>
        </w:rPr>
        <w:t>One thing is clear, the case for public health being the responsibility of local councils is stronger than ever. Several reports (</w:t>
      </w:r>
      <w:r w:rsidR="0020377E">
        <w:rPr>
          <w:lang w:val="en-US" w:eastAsia="en-US"/>
        </w:rPr>
        <w:t xml:space="preserve">The </w:t>
      </w:r>
      <w:r>
        <w:rPr>
          <w:lang w:val="en-US" w:eastAsia="en-US"/>
        </w:rPr>
        <w:t>King</w:t>
      </w:r>
      <w:r w:rsidR="0020377E">
        <w:rPr>
          <w:lang w:val="en-US" w:eastAsia="en-US"/>
        </w:rPr>
        <w:t>’</w:t>
      </w:r>
      <w:r>
        <w:rPr>
          <w:lang w:val="en-US" w:eastAsia="en-US"/>
        </w:rPr>
        <w:t>s Fund, DHSC Select Committee etc</w:t>
      </w:r>
      <w:r w:rsidR="0020377E">
        <w:rPr>
          <w:lang w:val="en-US" w:eastAsia="en-US"/>
        </w:rPr>
        <w:t>.</w:t>
      </w:r>
      <w:r>
        <w:rPr>
          <w:lang w:val="en-US" w:eastAsia="en-US"/>
        </w:rPr>
        <w:t>) have concluded that local government is the right home for public health. Regular</w:t>
      </w:r>
      <w:r w:rsidRPr="00CB7C7E">
        <w:rPr>
          <w:lang w:val="en-US" w:eastAsia="en-US"/>
        </w:rPr>
        <w:t xml:space="preserve"> surveys by </w:t>
      </w:r>
      <w:r>
        <w:rPr>
          <w:lang w:val="en-US" w:eastAsia="en-US"/>
        </w:rPr>
        <w:t xml:space="preserve">the </w:t>
      </w:r>
      <w:r w:rsidRPr="00CB7C7E">
        <w:rPr>
          <w:lang w:val="en-US" w:eastAsia="en-US"/>
        </w:rPr>
        <w:t xml:space="preserve">ADPH </w:t>
      </w:r>
      <w:r>
        <w:rPr>
          <w:lang w:val="en-US" w:eastAsia="en-US"/>
        </w:rPr>
        <w:t xml:space="preserve">show </w:t>
      </w:r>
      <w:r w:rsidR="0020377E">
        <w:rPr>
          <w:lang w:val="en-US" w:eastAsia="en-US"/>
        </w:rPr>
        <w:t xml:space="preserve">that </w:t>
      </w:r>
      <w:r w:rsidRPr="00CB7C7E">
        <w:rPr>
          <w:lang w:val="en-US" w:eastAsia="en-US"/>
        </w:rPr>
        <w:t xml:space="preserve">over 90% </w:t>
      </w:r>
      <w:r>
        <w:rPr>
          <w:lang w:val="en-US" w:eastAsia="en-US"/>
        </w:rPr>
        <w:t xml:space="preserve">of DsPH think public health should be a local government responsibility. </w:t>
      </w:r>
    </w:p>
    <w:p w:rsidRPr="00564D51" w:rsidR="00EE4F71" w:rsidP="00EE4F71" w:rsidRDefault="00EE4F71" w14:paraId="0811FFCF" w14:textId="77777777">
      <w:pPr>
        <w:spacing w:after="0"/>
        <w:rPr>
          <w:lang w:val="en-US"/>
        </w:rPr>
      </w:pPr>
    </w:p>
    <w:p w:rsidRPr="002E6D78" w:rsidR="00EE4F71" w:rsidP="00EE4F71" w:rsidRDefault="00EE4F71" w14:paraId="358F50AA" w14:textId="77777777">
      <w:pPr>
        <w:pStyle w:val="ListParagraph"/>
        <w:numPr>
          <w:ilvl w:val="0"/>
          <w:numId w:val="5"/>
        </w:numPr>
        <w:spacing w:after="0"/>
        <w:rPr>
          <w:lang w:val="en-US" w:eastAsia="en-US"/>
        </w:rPr>
      </w:pPr>
      <w:r w:rsidRPr="00286F28">
        <w:rPr>
          <w:lang w:val="en-US" w:eastAsia="en-US"/>
        </w:rPr>
        <w:t xml:space="preserve">Now we need to </w:t>
      </w:r>
      <w:r>
        <w:rPr>
          <w:lang w:val="en-US" w:eastAsia="en-US"/>
        </w:rPr>
        <w:t>put all our collective energies into</w:t>
      </w:r>
      <w:r w:rsidRPr="00286F28">
        <w:rPr>
          <w:lang w:val="en-US" w:eastAsia="en-US"/>
        </w:rPr>
        <w:t xml:space="preserve"> do</w:t>
      </w:r>
      <w:r>
        <w:rPr>
          <w:lang w:val="en-US" w:eastAsia="en-US"/>
        </w:rPr>
        <w:t>ing</w:t>
      </w:r>
      <w:r w:rsidRPr="00286F28">
        <w:rPr>
          <w:lang w:val="en-US" w:eastAsia="en-US"/>
        </w:rPr>
        <w:t xml:space="preserve"> everything we can to save lives, protect the NHS and social care and support our communities through this difficult time. </w:t>
      </w:r>
    </w:p>
    <w:p w:rsidR="00EE4F71" w:rsidP="00EE4F71" w:rsidRDefault="00EE4F71" w14:paraId="56165786" w14:textId="77777777"/>
    <w:p w:rsidR="0038563D" w:rsidRDefault="0038563D" w14:paraId="3CE20BFE" w14:textId="058211B2">
      <w:r w:rsidRPr="1BC26C6A" w:rsidR="430B8AE8">
        <w:rPr>
          <w:b w:val="1"/>
          <w:bCs w:val="1"/>
        </w:rPr>
        <w:t>Data</w:t>
      </w:r>
    </w:p>
    <w:p w:rsidR="088A437E" w:rsidP="1BC26C6A" w:rsidRDefault="088A437E" w14:paraId="6BF8A142" w14:textId="23FD0C7B">
      <w:pPr>
        <w:pStyle w:val="Normal"/>
      </w:pPr>
      <w:r w:rsidR="088A437E">
        <w:rPr/>
        <w:t xml:space="preserve">Directors of Public Health are working at pace to develop Local Outbreak Plans. Timely data flows from the all parts of the NHS Test and Trace Service will be a critical tool in managing and containing COVID-19 at a local level. ADPH is working constructively with national agencies to ensure Directors of Public Health and their teams have consistent access to the </w:t>
      </w:r>
      <w:proofErr w:type="gramStart"/>
      <w:r w:rsidR="088A437E">
        <w:rPr/>
        <w:t>high quality</w:t>
      </w:r>
      <w:proofErr w:type="gramEnd"/>
      <w:r w:rsidR="088A437E">
        <w:rPr/>
        <w:t xml:space="preserve"> data they need, including test results, to carry out their responsibilities.</w:t>
      </w:r>
    </w:p>
    <w:p w:rsidR="1BC26C6A" w:rsidP="1BC26C6A" w:rsidRDefault="1BC26C6A" w14:paraId="3CB36CFE" w14:textId="2095987C">
      <w:pPr>
        <w:pStyle w:val="Normal"/>
      </w:pPr>
    </w:p>
    <w:p w:rsidR="088A437E" w:rsidP="1BC26C6A" w:rsidRDefault="088A437E" w14:paraId="47FE2562" w14:textId="2F69DA61">
      <w:pPr>
        <w:pStyle w:val="Normal"/>
        <w:rPr>
          <w:b w:val="1"/>
          <w:bCs w:val="1"/>
        </w:rPr>
      </w:pPr>
      <w:r w:rsidRPr="1BC26C6A" w:rsidR="088A437E">
        <w:rPr>
          <w:b w:val="1"/>
          <w:bCs w:val="1"/>
        </w:rPr>
        <w:t>Review of 2 Metre distance rule</w:t>
      </w:r>
    </w:p>
    <w:p w:rsidR="088A437E" w:rsidP="1BC26C6A" w:rsidRDefault="088A437E" w14:paraId="38CA3ED2" w14:textId="7CA28757">
      <w:pPr>
        <w:pStyle w:val="Normal"/>
      </w:pPr>
      <w:r w:rsidR="088A437E">
        <w:rPr/>
        <w:t xml:space="preserve">The ADPH continues to support social distancing at 2 metres, which is recommended by the CMOs and public health agencies across the UK. The current estimated R value provides limited room for manoeuvre and the NHS Test and Trace Services is not yet robust enough to manage a spike in cases, which could result from reducing the </w:t>
      </w:r>
      <w:proofErr w:type="gramStart"/>
      <w:r w:rsidR="088A437E">
        <w:rPr/>
        <w:t>2 metre</w:t>
      </w:r>
      <w:proofErr w:type="gramEnd"/>
      <w:r w:rsidR="088A437E">
        <w:rPr/>
        <w:t xml:space="preserve"> guidance. We would urge the Government to consult widely on its review of the </w:t>
      </w:r>
      <w:proofErr w:type="gramStart"/>
      <w:r w:rsidR="088A437E">
        <w:rPr/>
        <w:t>2 metre</w:t>
      </w:r>
      <w:proofErr w:type="gramEnd"/>
      <w:r w:rsidR="088A437E">
        <w:rPr/>
        <w:t xml:space="preserve"> rule, including Directors of Public Health, and publish its findings in full.</w:t>
      </w:r>
    </w:p>
    <w:sectPr w:rsidR="0038563D" w:rsidSect="008950EC">
      <w:footerReference w:type="default" r:id="rId13"/>
      <w:headerReference w:type="first" r:id="rId14"/>
      <w:footerReference w:type="first" r:id="rId15"/>
      <w:endnotePr>
        <w:numFmt w:val="decimal"/>
      </w:endnotePr>
      <w:pgSz w:w="11900" w:h="16840" w:orient="portrait"/>
      <w:pgMar w:top="1701" w:right="1247" w:bottom="1247" w:left="1247" w:header="0" w:footer="38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6D6" w:rsidRDefault="004966D6" w14:paraId="4E895EAD" w14:textId="77777777">
      <w:pPr>
        <w:spacing w:after="0" w:line="240" w:lineRule="auto"/>
      </w:pPr>
      <w:r>
        <w:separator/>
      </w:r>
    </w:p>
  </w:endnote>
  <w:endnote w:type="continuationSeparator" w:id="0">
    <w:p w:rsidR="004966D6" w:rsidRDefault="004966D6" w14:paraId="73689076" w14:textId="77777777">
      <w:pPr>
        <w:spacing w:after="0" w:line="240" w:lineRule="auto"/>
      </w:pPr>
      <w:r>
        <w:continuationSeparator/>
      </w:r>
    </w:p>
  </w:endnote>
  <w:endnote w:type="continuationNotice" w:id="1">
    <w:p w:rsidR="004966D6" w:rsidRDefault="004966D6" w14:paraId="42E003F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id w:val="-1932964585"/>
      <w:docPartObj>
        <w:docPartGallery w:val="Page Numbers (Bottom of Page)"/>
        <w:docPartUnique/>
      </w:docPartObj>
    </w:sdtPr>
    <w:sdtEndPr>
      <w:rPr>
        <w:sz w:val="20"/>
      </w:rPr>
    </w:sdtEndPr>
    <w:sdtContent>
      <w:sdt>
        <w:sdtPr>
          <w:rPr>
            <w:color w:val="7F7F7F" w:themeColor="text1" w:themeTint="80"/>
          </w:rPr>
          <w:id w:val="-1037118664"/>
          <w:docPartObj>
            <w:docPartGallery w:val="Page Numbers (Top of Page)"/>
            <w:docPartUnique/>
          </w:docPartObj>
        </w:sdtPr>
        <w:sdtEndPr>
          <w:rPr>
            <w:sz w:val="20"/>
          </w:rPr>
        </w:sdtEndPr>
        <w:sdtContent>
          <w:p w:rsidRPr="00C71D11" w:rsidR="008950EC" w:rsidP="008950EC" w:rsidRDefault="00F73F73" w14:paraId="70C57ED3" w14:textId="67828954">
            <w:pPr>
              <w:pStyle w:val="Footer"/>
              <w:tabs>
                <w:tab w:val="clear" w:pos="8640"/>
                <w:tab w:val="right" w:pos="9356"/>
              </w:tabs>
              <w:spacing w:after="0"/>
              <w:rPr>
                <w:color w:val="7F7F7F" w:themeColor="text1" w:themeTint="80"/>
                <w:sz w:val="20"/>
              </w:rPr>
            </w:pPr>
            <w:r w:rsidRPr="00C71D11">
              <w:rPr>
                <w:color w:val="7F7F7F" w:themeColor="text1" w:themeTint="80"/>
                <w:sz w:val="20"/>
              </w:rPr>
              <w:t xml:space="preserve">ADPH </w:t>
            </w:r>
            <w:r w:rsidRPr="00C71D11">
              <w:rPr>
                <w:sz w:val="20"/>
              </w:rPr>
              <w:t>|</w:t>
            </w:r>
            <w:r>
              <w:rPr>
                <w:sz w:val="20"/>
              </w:rPr>
              <w:t xml:space="preserve"> </w:t>
            </w:r>
            <w:r w:rsidRPr="0018569E">
              <w:rPr>
                <w:color w:val="7F7F7F" w:themeColor="text1" w:themeTint="80"/>
                <w:sz w:val="20"/>
              </w:rPr>
              <w:t>Registered Charity Number 1164513</w:t>
            </w:r>
            <w:r>
              <w:rPr>
                <w:color w:val="7F7F7F" w:themeColor="text1" w:themeTint="80"/>
                <w:sz w:val="20"/>
              </w:rPr>
              <w:t xml:space="preserve"> </w:t>
            </w:r>
            <w:r>
              <w:rPr>
                <w:color w:val="7F7F7F" w:themeColor="text1" w:themeTint="80"/>
                <w:sz w:val="20"/>
              </w:rPr>
              <w:tab/>
            </w:r>
            <w:r>
              <w:rPr>
                <w:color w:val="7F7F7F" w:themeColor="text1" w:themeTint="80"/>
                <w:sz w:val="20"/>
              </w:rPr>
              <w:tab/>
            </w:r>
            <w:r w:rsidR="00505638">
              <w:rPr>
                <w:color w:val="7F7F7F" w:themeColor="text1" w:themeTint="80"/>
                <w:sz w:val="20"/>
              </w:rPr>
              <w:t>June</w:t>
            </w:r>
            <w:r w:rsidR="00702F27">
              <w:rPr>
                <w:color w:val="7F7F7F" w:themeColor="text1" w:themeTint="80"/>
                <w:sz w:val="20"/>
              </w:rPr>
              <w:t xml:space="preserve"> </w:t>
            </w:r>
            <w:r>
              <w:rPr>
                <w:color w:val="7F7F7F" w:themeColor="text1" w:themeTint="80"/>
                <w:sz w:val="20"/>
              </w:rPr>
              <w:t>2020</w:t>
            </w:r>
          </w:p>
          <w:p w:rsidRPr="00C71D11" w:rsidR="008950EC" w:rsidP="008950EC" w:rsidRDefault="004966D6" w14:paraId="639F66CD" w14:textId="77777777">
            <w:pPr>
              <w:pStyle w:val="Footer"/>
              <w:tabs>
                <w:tab w:val="clear" w:pos="8640"/>
                <w:tab w:val="right" w:pos="9356"/>
              </w:tabs>
              <w:spacing w:after="0"/>
              <w:rPr>
                <w:sz w:val="20"/>
              </w:rPr>
            </w:pPr>
            <w:hyperlink w:history="1" r:id="rId1">
              <w:r w:rsidRPr="00C71D11" w:rsidR="00F73F73">
                <w:rPr>
                  <w:rStyle w:val="Hyperlink"/>
                  <w:sz w:val="20"/>
                </w:rPr>
                <w:t>enquiries@adph.org.uk</w:t>
              </w:r>
            </w:hyperlink>
            <w:r w:rsidRPr="00C71D11" w:rsidR="00F73F73">
              <w:rPr>
                <w:sz w:val="20"/>
              </w:rPr>
              <w:t xml:space="preserve"> | </w:t>
            </w:r>
            <w:r w:rsidRPr="00C71D11" w:rsidR="00F73F73">
              <w:rPr>
                <w:color w:val="7F7F7F" w:themeColor="text1" w:themeTint="80"/>
                <w:sz w:val="20"/>
              </w:rPr>
              <w:t xml:space="preserve">Tel: 020 7832 6944 </w:t>
            </w:r>
            <w:r w:rsidRPr="00C71D11" w:rsidR="00F73F73">
              <w:rPr>
                <w:sz w:val="20"/>
              </w:rPr>
              <w:t xml:space="preserve">| </w:t>
            </w:r>
            <w:hyperlink w:history="1" r:id="rId2">
              <w:r w:rsidRPr="00C71D11" w:rsidR="00F73F73">
                <w:rPr>
                  <w:rStyle w:val="Hyperlink"/>
                  <w:sz w:val="20"/>
                </w:rPr>
                <w:t>www.adph.org.uk</w:t>
              </w:r>
            </w:hyperlink>
            <w:r w:rsidRPr="00C71D11" w:rsidR="00F73F73">
              <w:rPr>
                <w:sz w:val="20"/>
              </w:rPr>
              <w:t xml:space="preserve"> </w:t>
            </w:r>
            <w:r w:rsidRPr="00C71D11" w:rsidR="00F73F73">
              <w:rPr>
                <w:sz w:val="20"/>
              </w:rPr>
              <w:tab/>
            </w:r>
            <w:sdt>
              <w:sdtPr>
                <w:rPr>
                  <w:color w:val="7F7F7F" w:themeColor="text1" w:themeTint="80"/>
                  <w:sz w:val="20"/>
                </w:rPr>
                <w:id w:val="1744910144"/>
                <w:docPartObj>
                  <w:docPartGallery w:val="Page Numbers (Bottom of Page)"/>
                  <w:docPartUnique/>
                </w:docPartObj>
              </w:sdtPr>
              <w:sdtEndPr/>
              <w:sdtContent>
                <w:sdt>
                  <w:sdtPr>
                    <w:rPr>
                      <w:color w:val="7F7F7F" w:themeColor="text1" w:themeTint="80"/>
                      <w:sz w:val="20"/>
                    </w:rPr>
                    <w:id w:val="-398986016"/>
                    <w:docPartObj>
                      <w:docPartGallery w:val="Page Numbers (Top of Page)"/>
                      <w:docPartUnique/>
                    </w:docPartObj>
                  </w:sdtPr>
                  <w:sdtEndPr/>
                  <w:sdtContent>
                    <w:r w:rsidRPr="00C71D11" w:rsidR="00F73F73">
                      <w:rPr>
                        <w:color w:val="7F7F7F" w:themeColor="text1" w:themeTint="80"/>
                        <w:sz w:val="20"/>
                      </w:rPr>
                      <w:t xml:space="preserve">Page </w:t>
                    </w:r>
                    <w:r w:rsidRPr="00C71D11" w:rsidR="00F73F73">
                      <w:rPr>
                        <w:b/>
                        <w:bCs/>
                        <w:color w:val="7F7F7F" w:themeColor="text1" w:themeTint="80"/>
                        <w:sz w:val="20"/>
                      </w:rPr>
                      <w:fldChar w:fldCharType="begin"/>
                    </w:r>
                    <w:r w:rsidRPr="00C71D11" w:rsidR="00F73F73">
                      <w:rPr>
                        <w:b/>
                        <w:bCs/>
                        <w:color w:val="7F7F7F" w:themeColor="text1" w:themeTint="80"/>
                        <w:sz w:val="20"/>
                      </w:rPr>
                      <w:instrText xml:space="preserve"> PAGE </w:instrText>
                    </w:r>
                    <w:r w:rsidRPr="00C71D11" w:rsidR="00F73F73">
                      <w:rPr>
                        <w:b/>
                        <w:bCs/>
                        <w:color w:val="7F7F7F" w:themeColor="text1" w:themeTint="80"/>
                        <w:sz w:val="20"/>
                      </w:rPr>
                      <w:fldChar w:fldCharType="separate"/>
                    </w:r>
                    <w:r w:rsidR="00F73F73">
                      <w:rPr>
                        <w:b/>
                        <w:bCs/>
                        <w:noProof/>
                        <w:color w:val="7F7F7F" w:themeColor="text1" w:themeTint="80"/>
                        <w:sz w:val="20"/>
                      </w:rPr>
                      <w:t>2</w:t>
                    </w:r>
                    <w:r w:rsidRPr="00C71D11" w:rsidR="00F73F73">
                      <w:rPr>
                        <w:b/>
                        <w:bCs/>
                        <w:color w:val="7F7F7F" w:themeColor="text1" w:themeTint="80"/>
                        <w:sz w:val="20"/>
                      </w:rPr>
                      <w:fldChar w:fldCharType="end"/>
                    </w:r>
                    <w:r w:rsidRPr="00C71D11" w:rsidR="00F73F73">
                      <w:rPr>
                        <w:color w:val="7F7F7F" w:themeColor="text1" w:themeTint="80"/>
                        <w:sz w:val="20"/>
                      </w:rPr>
                      <w:t xml:space="preserve"> of </w:t>
                    </w:r>
                    <w:r w:rsidRPr="00C71D11" w:rsidR="00F73F73">
                      <w:rPr>
                        <w:b/>
                        <w:bCs/>
                        <w:color w:val="7F7F7F" w:themeColor="text1" w:themeTint="80"/>
                        <w:sz w:val="20"/>
                      </w:rPr>
                      <w:fldChar w:fldCharType="begin"/>
                    </w:r>
                    <w:r w:rsidRPr="00C71D11" w:rsidR="00F73F73">
                      <w:rPr>
                        <w:b/>
                        <w:bCs/>
                        <w:color w:val="7F7F7F" w:themeColor="text1" w:themeTint="80"/>
                        <w:sz w:val="20"/>
                      </w:rPr>
                      <w:instrText xml:space="preserve"> NUMPAGES  </w:instrText>
                    </w:r>
                    <w:r w:rsidRPr="00C71D11" w:rsidR="00F73F73">
                      <w:rPr>
                        <w:b/>
                        <w:bCs/>
                        <w:color w:val="7F7F7F" w:themeColor="text1" w:themeTint="80"/>
                        <w:sz w:val="20"/>
                      </w:rPr>
                      <w:fldChar w:fldCharType="separate"/>
                    </w:r>
                    <w:r w:rsidR="00F73F73">
                      <w:rPr>
                        <w:b/>
                        <w:bCs/>
                        <w:noProof/>
                        <w:color w:val="7F7F7F" w:themeColor="text1" w:themeTint="80"/>
                        <w:sz w:val="20"/>
                      </w:rPr>
                      <w:t>2</w:t>
                    </w:r>
                    <w:r w:rsidRPr="00C71D11" w:rsidR="00F73F73">
                      <w:rPr>
                        <w:b/>
                        <w:bCs/>
                        <w:color w:val="7F7F7F" w:themeColor="text1" w:themeTint="80"/>
                        <w:sz w:val="20"/>
                      </w:rPr>
                      <w:fldChar w:fldCharType="end"/>
                    </w:r>
                  </w:sdtContent>
                </w:sdt>
              </w:sdtContent>
            </w:sdt>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204317"/>
      <w:docPartObj>
        <w:docPartGallery w:val="Page Numbers (Bottom of Page)"/>
        <w:docPartUnique/>
      </w:docPartObj>
    </w:sdtPr>
    <w:sdtEndPr>
      <w:rPr>
        <w:noProof/>
      </w:rPr>
    </w:sdtEndPr>
    <w:sdtContent>
      <w:p w:rsidR="008950EC" w:rsidP="008950EC" w:rsidRDefault="004966D6" w14:paraId="578BF25C" w14:textId="087CABED">
        <w:pPr>
          <w:pStyle w:val="Header"/>
          <w:tabs>
            <w:tab w:val="clear" w:pos="4320"/>
            <w:tab w:val="clear" w:pos="8640"/>
            <w:tab w:val="right" w:pos="9356"/>
          </w:tabs>
          <w:spacing w:line="276" w:lineRule="auto"/>
        </w:pPr>
        <w:sdt>
          <w:sdtPr>
            <w:id w:val="570007701"/>
            <w:docPartObj>
              <w:docPartGallery w:val="Page Numbers (Bottom of Page)"/>
              <w:docPartUnique/>
            </w:docPartObj>
          </w:sdtPr>
          <w:sdtEndPr/>
          <w:sdtContent>
            <w:sdt>
              <w:sdtPr>
                <w:id w:val="-772781075"/>
                <w:docPartObj>
                  <w:docPartGallery w:val="Page Numbers (Top of Page)"/>
                  <w:docPartUnique/>
                </w:docPartObj>
              </w:sdtPr>
              <w:sdtEndPr/>
              <w:sdtContent>
                <w:r w:rsidRPr="00C71D11" w:rsidR="00F73F73">
                  <w:rPr>
                    <w:color w:val="7F7F7F" w:themeColor="text1" w:themeTint="80"/>
                    <w:sz w:val="20"/>
                  </w:rPr>
                  <w:t xml:space="preserve">ADPH </w:t>
                </w:r>
                <w:r w:rsidRPr="00C71D11" w:rsidR="00F73F73">
                  <w:rPr>
                    <w:sz w:val="20"/>
                  </w:rPr>
                  <w:t>|</w:t>
                </w:r>
                <w:r w:rsidR="00F73F73">
                  <w:rPr>
                    <w:sz w:val="20"/>
                  </w:rPr>
                  <w:t xml:space="preserve"> </w:t>
                </w:r>
                <w:r w:rsidRPr="0018569E" w:rsidR="00F73F73">
                  <w:rPr>
                    <w:color w:val="7F7F7F" w:themeColor="text1" w:themeTint="80"/>
                    <w:sz w:val="20"/>
                  </w:rPr>
                  <w:t>Registered Charity Number 1164513</w:t>
                </w:r>
                <w:r w:rsidR="00F73F73">
                  <w:t xml:space="preserve"> </w:t>
                </w:r>
                <w:r w:rsidR="00F73F73">
                  <w:tab/>
                </w:r>
                <w:r w:rsidR="00505638">
                  <w:rPr>
                    <w:color w:val="7F7F7F" w:themeColor="text1" w:themeTint="80"/>
                    <w:sz w:val="20"/>
                  </w:rPr>
                  <w:t>June 2020</w:t>
                </w:r>
                <w:r w:rsidRPr="00C71D11" w:rsidR="00F73F73">
                  <w:rPr>
                    <w:sz w:val="20"/>
                  </w:rPr>
                  <w:br/>
                </w:r>
                <w:hyperlink w:history="1" r:id="rId1">
                  <w:r w:rsidRPr="00C71D11" w:rsidR="00F73F73">
                    <w:rPr>
                      <w:rStyle w:val="Hyperlink"/>
                      <w:sz w:val="20"/>
                    </w:rPr>
                    <w:t>enquiries@adph.org.uk</w:t>
                  </w:r>
                </w:hyperlink>
                <w:r w:rsidRPr="00C71D11" w:rsidR="00F73F73">
                  <w:rPr>
                    <w:sz w:val="20"/>
                  </w:rPr>
                  <w:t xml:space="preserve"> | </w:t>
                </w:r>
                <w:r w:rsidRPr="00C71D11" w:rsidR="00F73F73">
                  <w:rPr>
                    <w:color w:val="7F7F7F" w:themeColor="text1" w:themeTint="80"/>
                    <w:sz w:val="20"/>
                  </w:rPr>
                  <w:t xml:space="preserve">Tel: 020 7832 6944 </w:t>
                </w:r>
                <w:r w:rsidRPr="00C71D11" w:rsidR="00F73F73">
                  <w:rPr>
                    <w:sz w:val="20"/>
                  </w:rPr>
                  <w:t xml:space="preserve">| </w:t>
                </w:r>
                <w:hyperlink w:history="1" r:id="rId2">
                  <w:r w:rsidRPr="00C71D11" w:rsidR="00F73F73">
                    <w:rPr>
                      <w:rStyle w:val="Hyperlink"/>
                      <w:sz w:val="20"/>
                    </w:rPr>
                    <w:t>www.adph.org.uk</w:t>
                  </w:r>
                </w:hyperlink>
                <w:r w:rsidRPr="00C71D11" w:rsidR="00F73F73">
                  <w:rPr>
                    <w:sz w:val="20"/>
                  </w:rPr>
                  <w:t xml:space="preserve"> </w:t>
                </w:r>
                <w:r w:rsidRPr="00C71D11" w:rsidR="00F73F73">
                  <w:rPr>
                    <w:sz w:val="20"/>
                  </w:rPr>
                  <w:tab/>
                </w:r>
                <w:sdt>
                  <w:sdtPr>
                    <w:rPr>
                      <w:sz w:val="20"/>
                    </w:rPr>
                    <w:id w:val="207772226"/>
                    <w:docPartObj>
                      <w:docPartGallery w:val="Page Numbers (Bottom of Page)"/>
                      <w:docPartUnique/>
                    </w:docPartObj>
                  </w:sdtPr>
                  <w:sdtEndPr>
                    <w:rPr>
                      <w:sz w:val="22"/>
                    </w:rPr>
                  </w:sdtEndPr>
                  <w:sdtContent>
                    <w:sdt>
                      <w:sdtPr>
                        <w:rPr>
                          <w:sz w:val="20"/>
                        </w:rPr>
                        <w:id w:val="-544216603"/>
                        <w:docPartObj>
                          <w:docPartGallery w:val="Page Numbers (Top of Page)"/>
                          <w:docPartUnique/>
                        </w:docPartObj>
                      </w:sdtPr>
                      <w:sdtEndPr/>
                      <w:sdtContent>
                        <w:r w:rsidRPr="00C71D11" w:rsidR="00F73F73">
                          <w:rPr>
                            <w:color w:val="7F7F7F" w:themeColor="text1" w:themeTint="80"/>
                            <w:sz w:val="20"/>
                          </w:rPr>
                          <w:t xml:space="preserve">Page </w:t>
                        </w:r>
                        <w:r w:rsidRPr="00C71D11" w:rsidR="00F73F73">
                          <w:rPr>
                            <w:b/>
                            <w:bCs/>
                            <w:color w:val="7F7F7F" w:themeColor="text1" w:themeTint="80"/>
                            <w:sz w:val="20"/>
                          </w:rPr>
                          <w:fldChar w:fldCharType="begin"/>
                        </w:r>
                        <w:r w:rsidRPr="00C71D11" w:rsidR="00F73F73">
                          <w:rPr>
                            <w:b/>
                            <w:bCs/>
                            <w:color w:val="7F7F7F" w:themeColor="text1" w:themeTint="80"/>
                            <w:sz w:val="20"/>
                          </w:rPr>
                          <w:instrText xml:space="preserve"> PAGE </w:instrText>
                        </w:r>
                        <w:r w:rsidRPr="00C71D11" w:rsidR="00F73F73">
                          <w:rPr>
                            <w:b/>
                            <w:bCs/>
                            <w:color w:val="7F7F7F" w:themeColor="text1" w:themeTint="80"/>
                            <w:sz w:val="20"/>
                          </w:rPr>
                          <w:fldChar w:fldCharType="separate"/>
                        </w:r>
                        <w:r w:rsidR="00F73F73">
                          <w:rPr>
                            <w:b/>
                            <w:bCs/>
                            <w:noProof/>
                            <w:color w:val="7F7F7F" w:themeColor="text1" w:themeTint="80"/>
                            <w:sz w:val="20"/>
                          </w:rPr>
                          <w:t>1</w:t>
                        </w:r>
                        <w:r w:rsidRPr="00C71D11" w:rsidR="00F73F73">
                          <w:rPr>
                            <w:b/>
                            <w:bCs/>
                            <w:color w:val="7F7F7F" w:themeColor="text1" w:themeTint="80"/>
                            <w:sz w:val="20"/>
                          </w:rPr>
                          <w:fldChar w:fldCharType="end"/>
                        </w:r>
                        <w:r w:rsidRPr="00C71D11" w:rsidR="00F73F73">
                          <w:rPr>
                            <w:color w:val="7F7F7F" w:themeColor="text1" w:themeTint="80"/>
                            <w:sz w:val="20"/>
                          </w:rPr>
                          <w:t xml:space="preserve"> of </w:t>
                        </w:r>
                        <w:r w:rsidRPr="00C71D11" w:rsidR="00F73F73">
                          <w:rPr>
                            <w:b/>
                            <w:bCs/>
                            <w:color w:val="7F7F7F" w:themeColor="text1" w:themeTint="80"/>
                            <w:sz w:val="20"/>
                          </w:rPr>
                          <w:fldChar w:fldCharType="begin"/>
                        </w:r>
                        <w:r w:rsidRPr="00C71D11" w:rsidR="00F73F73">
                          <w:rPr>
                            <w:b/>
                            <w:bCs/>
                            <w:color w:val="7F7F7F" w:themeColor="text1" w:themeTint="80"/>
                            <w:sz w:val="20"/>
                          </w:rPr>
                          <w:instrText xml:space="preserve"> NUMPAGES  </w:instrText>
                        </w:r>
                        <w:r w:rsidRPr="00C71D11" w:rsidR="00F73F73">
                          <w:rPr>
                            <w:b/>
                            <w:bCs/>
                            <w:color w:val="7F7F7F" w:themeColor="text1" w:themeTint="80"/>
                            <w:sz w:val="20"/>
                          </w:rPr>
                          <w:fldChar w:fldCharType="separate"/>
                        </w:r>
                        <w:r w:rsidR="00F73F73">
                          <w:rPr>
                            <w:b/>
                            <w:bCs/>
                            <w:noProof/>
                            <w:color w:val="7F7F7F" w:themeColor="text1" w:themeTint="80"/>
                            <w:sz w:val="20"/>
                          </w:rPr>
                          <w:t>2</w:t>
                        </w:r>
                        <w:r w:rsidRPr="00C71D11" w:rsidR="00F73F73">
                          <w:rPr>
                            <w:b/>
                            <w:bCs/>
                            <w:color w:val="7F7F7F" w:themeColor="text1" w:themeTint="80"/>
                            <w:sz w:val="20"/>
                          </w:rPr>
                          <w:fldChar w:fldCharType="end"/>
                        </w:r>
                      </w:sdtContent>
                    </w:sdt>
                  </w:sdtContent>
                </w:sdt>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6D6" w:rsidRDefault="004966D6" w14:paraId="6C8E5795" w14:textId="77777777">
      <w:pPr>
        <w:spacing w:after="0" w:line="240" w:lineRule="auto"/>
      </w:pPr>
      <w:r>
        <w:separator/>
      </w:r>
    </w:p>
  </w:footnote>
  <w:footnote w:type="continuationSeparator" w:id="0">
    <w:p w:rsidR="004966D6" w:rsidRDefault="004966D6" w14:paraId="6BE97526" w14:textId="77777777">
      <w:pPr>
        <w:spacing w:after="0" w:line="240" w:lineRule="auto"/>
      </w:pPr>
      <w:r>
        <w:continuationSeparator/>
      </w:r>
    </w:p>
  </w:footnote>
  <w:footnote w:type="continuationNotice" w:id="1">
    <w:p w:rsidR="004966D6" w:rsidRDefault="004966D6" w14:paraId="17144F8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950EC" w:rsidRDefault="00F73F73" w14:paraId="74FF0CD9" w14:textId="62F429A5">
    <w:pPr>
      <w:pStyle w:val="Header"/>
    </w:pPr>
    <w:r w:rsidRPr="004B2D8A">
      <w:rPr>
        <w:noProof/>
        <w:lang w:eastAsia="en-GB"/>
      </w:rPr>
      <w:drawing>
        <wp:anchor distT="0" distB="0" distL="114300" distR="114300" simplePos="0" relativeHeight="251658240" behindDoc="0" locked="0" layoutInCell="1" allowOverlap="1" wp14:anchorId="08E7E252" wp14:editId="42E2129F">
          <wp:simplePos x="0" y="0"/>
          <wp:positionH relativeFrom="page">
            <wp:posOffset>5778500</wp:posOffset>
          </wp:positionH>
          <wp:positionV relativeFrom="page">
            <wp:posOffset>424815</wp:posOffset>
          </wp:positionV>
          <wp:extent cx="1249200" cy="1238400"/>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PH Logo Non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1249200" cy="1238400"/>
                  </a:xfrm>
                  <a:prstGeom prst="rect">
                    <a:avLst/>
                  </a:prstGeom>
                </pic:spPr>
              </pic:pic>
            </a:graphicData>
          </a:graphic>
          <wp14:sizeRelH relativeFrom="margin">
            <wp14:pctWidth>0</wp14:pctWidth>
          </wp14:sizeRelH>
          <wp14:sizeRelV relativeFrom="margin">
            <wp14:pctHeight>0</wp14:pctHeight>
          </wp14:sizeRelV>
        </wp:anchor>
      </w:drawing>
    </w:r>
    <w:r w:rsidR="1BC26C6A">
      <w:rPr/>
      <w:t/>
    </w:r>
    <w:r w:rsidR="3C2C3895">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9FF"/>
    <w:multiLevelType w:val="hybridMultilevel"/>
    <w:tmpl w:val="1F72D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67B7D"/>
    <w:multiLevelType w:val="hybridMultilevel"/>
    <w:tmpl w:val="6AF47F7E"/>
    <w:lvl w:ilvl="0" w:tplc="08090001">
      <w:start w:val="1"/>
      <w:numFmt w:val="bullet"/>
      <w:lvlText w:val=""/>
      <w:lvlJc w:val="left"/>
      <w:pPr>
        <w:ind w:left="770" w:hanging="360"/>
      </w:pPr>
      <w:rPr>
        <w:rFonts w:hint="default" w:ascii="Symbol" w:hAnsi="Symbol" w:cs="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cs="Wingdings"/>
      </w:rPr>
    </w:lvl>
    <w:lvl w:ilvl="3" w:tplc="08090001" w:tentative="1">
      <w:start w:val="1"/>
      <w:numFmt w:val="bullet"/>
      <w:lvlText w:val=""/>
      <w:lvlJc w:val="left"/>
      <w:pPr>
        <w:ind w:left="2930" w:hanging="360"/>
      </w:pPr>
      <w:rPr>
        <w:rFonts w:hint="default" w:ascii="Symbol" w:hAnsi="Symbol" w:cs="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cs="Wingdings"/>
      </w:rPr>
    </w:lvl>
    <w:lvl w:ilvl="6" w:tplc="08090001" w:tentative="1">
      <w:start w:val="1"/>
      <w:numFmt w:val="bullet"/>
      <w:lvlText w:val=""/>
      <w:lvlJc w:val="left"/>
      <w:pPr>
        <w:ind w:left="5090" w:hanging="360"/>
      </w:pPr>
      <w:rPr>
        <w:rFonts w:hint="default" w:ascii="Symbol" w:hAnsi="Symbol" w:cs="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cs="Wingdings"/>
      </w:rPr>
    </w:lvl>
  </w:abstractNum>
  <w:abstractNum w:abstractNumId="2" w15:restartNumberingAfterBreak="0">
    <w:nsid w:val="17A416C2"/>
    <w:multiLevelType w:val="hybridMultilevel"/>
    <w:tmpl w:val="A22A9CCA"/>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1BF35F68"/>
    <w:multiLevelType w:val="hybridMultilevel"/>
    <w:tmpl w:val="B978B17A"/>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22B836AF"/>
    <w:multiLevelType w:val="hybridMultilevel"/>
    <w:tmpl w:val="4560EFC2"/>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5" w15:restartNumberingAfterBreak="0">
    <w:nsid w:val="24D378C9"/>
    <w:multiLevelType w:val="hybridMultilevel"/>
    <w:tmpl w:val="06CC3A94"/>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6" w15:restartNumberingAfterBreak="0">
    <w:nsid w:val="40AA6E77"/>
    <w:multiLevelType w:val="hybridMultilevel"/>
    <w:tmpl w:val="306ABACE"/>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7" w15:restartNumberingAfterBreak="0">
    <w:nsid w:val="5D0F49AD"/>
    <w:multiLevelType w:val="hybridMultilevel"/>
    <w:tmpl w:val="EDA0C9A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8" w15:restartNumberingAfterBreak="0">
    <w:nsid w:val="700C4926"/>
    <w:multiLevelType w:val="hybridMultilevel"/>
    <w:tmpl w:val="0534F446"/>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num w:numId="1">
    <w:abstractNumId w:val="5"/>
  </w:num>
  <w:num w:numId="2">
    <w:abstractNumId w:val="0"/>
  </w:num>
  <w:num w:numId="3">
    <w:abstractNumId w:val="6"/>
  </w:num>
  <w:num w:numId="4">
    <w:abstractNumId w:val="7"/>
  </w:num>
  <w:num w:numId="5">
    <w:abstractNumId w:val="4"/>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71"/>
    <w:rsid w:val="00006DE2"/>
    <w:rsid w:val="000812CB"/>
    <w:rsid w:val="000A5965"/>
    <w:rsid w:val="000E762D"/>
    <w:rsid w:val="00100CF8"/>
    <w:rsid w:val="001108C8"/>
    <w:rsid w:val="001179FC"/>
    <w:rsid w:val="00127806"/>
    <w:rsid w:val="00191A0D"/>
    <w:rsid w:val="001F28F8"/>
    <w:rsid w:val="0020377E"/>
    <w:rsid w:val="00246F15"/>
    <w:rsid w:val="002A7B2E"/>
    <w:rsid w:val="003200DB"/>
    <w:rsid w:val="00320916"/>
    <w:rsid w:val="0038563D"/>
    <w:rsid w:val="00464192"/>
    <w:rsid w:val="0048080A"/>
    <w:rsid w:val="004966D6"/>
    <w:rsid w:val="00501F86"/>
    <w:rsid w:val="00505638"/>
    <w:rsid w:val="005B54B1"/>
    <w:rsid w:val="005F4A2A"/>
    <w:rsid w:val="006738FF"/>
    <w:rsid w:val="006F51E0"/>
    <w:rsid w:val="00702F27"/>
    <w:rsid w:val="007314B7"/>
    <w:rsid w:val="0074666E"/>
    <w:rsid w:val="007503FF"/>
    <w:rsid w:val="0076243D"/>
    <w:rsid w:val="007A6C26"/>
    <w:rsid w:val="007B1C38"/>
    <w:rsid w:val="00806909"/>
    <w:rsid w:val="00807C9A"/>
    <w:rsid w:val="008251F7"/>
    <w:rsid w:val="00827469"/>
    <w:rsid w:val="008606E8"/>
    <w:rsid w:val="008950EC"/>
    <w:rsid w:val="00903179"/>
    <w:rsid w:val="0090453B"/>
    <w:rsid w:val="00921944"/>
    <w:rsid w:val="009713CC"/>
    <w:rsid w:val="00971B82"/>
    <w:rsid w:val="00993FEC"/>
    <w:rsid w:val="009D1BC3"/>
    <w:rsid w:val="009D49F1"/>
    <w:rsid w:val="00A3046C"/>
    <w:rsid w:val="00A61FA0"/>
    <w:rsid w:val="00A63031"/>
    <w:rsid w:val="00A72221"/>
    <w:rsid w:val="00AD2A50"/>
    <w:rsid w:val="00B37431"/>
    <w:rsid w:val="00B60043"/>
    <w:rsid w:val="00BB3417"/>
    <w:rsid w:val="00C419AC"/>
    <w:rsid w:val="00C60FEB"/>
    <w:rsid w:val="00C855FC"/>
    <w:rsid w:val="00C91F1F"/>
    <w:rsid w:val="00C923E3"/>
    <w:rsid w:val="00D17D74"/>
    <w:rsid w:val="00D834F3"/>
    <w:rsid w:val="00DC3FCF"/>
    <w:rsid w:val="00DD49AD"/>
    <w:rsid w:val="00DF25EC"/>
    <w:rsid w:val="00E80211"/>
    <w:rsid w:val="00EB02B3"/>
    <w:rsid w:val="00EE4F71"/>
    <w:rsid w:val="00EE5385"/>
    <w:rsid w:val="00F07103"/>
    <w:rsid w:val="00F26B6C"/>
    <w:rsid w:val="00F45525"/>
    <w:rsid w:val="00F73F73"/>
    <w:rsid w:val="0193FDEA"/>
    <w:rsid w:val="088A437E"/>
    <w:rsid w:val="0ABE29AC"/>
    <w:rsid w:val="0BAE379B"/>
    <w:rsid w:val="11579168"/>
    <w:rsid w:val="190D6877"/>
    <w:rsid w:val="1BC26C6A"/>
    <w:rsid w:val="1D16AF4D"/>
    <w:rsid w:val="248A4199"/>
    <w:rsid w:val="2530F5A1"/>
    <w:rsid w:val="2BA8ECAA"/>
    <w:rsid w:val="2CFF0B56"/>
    <w:rsid w:val="35B5060D"/>
    <w:rsid w:val="38FBEBF2"/>
    <w:rsid w:val="3C2C3895"/>
    <w:rsid w:val="3D0BBE3C"/>
    <w:rsid w:val="430B8AE8"/>
    <w:rsid w:val="468FD7C6"/>
    <w:rsid w:val="485022C3"/>
    <w:rsid w:val="4C77F1BA"/>
    <w:rsid w:val="560B49B7"/>
    <w:rsid w:val="565E6DA5"/>
    <w:rsid w:val="5B807C07"/>
    <w:rsid w:val="5D8D2148"/>
    <w:rsid w:val="63909182"/>
    <w:rsid w:val="652E913A"/>
    <w:rsid w:val="697C58D2"/>
    <w:rsid w:val="6F02269C"/>
    <w:rsid w:val="7CE56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D7483"/>
  <w15:chartTrackingRefBased/>
  <w15:docId w15:val="{71DB8B12-8145-4F04-925D-0087E489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E4F71"/>
    <w:pPr>
      <w:keepNext/>
      <w:keepLines/>
      <w:widowControl w:val="0"/>
      <w:autoSpaceDE w:val="0"/>
      <w:autoSpaceDN w:val="0"/>
      <w:adjustRightInd w:val="0"/>
      <w:spacing w:before="320" w:after="0" w:line="240" w:lineRule="auto"/>
      <w:outlineLvl w:val="0"/>
    </w:pPr>
    <w:rPr>
      <w:rFonts w:ascii="Calibri" w:hAnsi="Calibri" w:eastAsiaTheme="majorEastAsia" w:cstheme="majorBidi"/>
      <w:b/>
      <w:color w:val="000000"/>
      <w:spacing w:val="20"/>
      <w:sz w:val="32"/>
      <w:szCs w:val="32"/>
      <w:lang w:val="en-US"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E4F7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E4F71"/>
    <w:rPr>
      <w:rFonts w:ascii="Segoe UI" w:hAnsi="Segoe UI" w:cs="Segoe UI"/>
      <w:sz w:val="18"/>
      <w:szCs w:val="18"/>
    </w:rPr>
  </w:style>
  <w:style w:type="character" w:styleId="Heading1Char" w:customStyle="1">
    <w:name w:val="Heading 1 Char"/>
    <w:basedOn w:val="DefaultParagraphFont"/>
    <w:link w:val="Heading1"/>
    <w:uiPriority w:val="9"/>
    <w:rsid w:val="00EE4F71"/>
    <w:rPr>
      <w:rFonts w:ascii="Calibri" w:hAnsi="Calibri" w:eastAsiaTheme="majorEastAsia" w:cstheme="majorBidi"/>
      <w:b/>
      <w:color w:val="000000"/>
      <w:spacing w:val="20"/>
      <w:sz w:val="32"/>
      <w:szCs w:val="32"/>
      <w:lang w:val="en-US" w:eastAsia="ja-JP"/>
    </w:rPr>
  </w:style>
  <w:style w:type="character" w:styleId="Hyperlink">
    <w:name w:val="Hyperlink"/>
    <w:basedOn w:val="DefaultParagraphFont"/>
    <w:rsid w:val="00EE4F71"/>
    <w:rPr>
      <w:rFonts w:ascii="Calibri" w:hAnsi="Calibri"/>
      <w:color w:val="700000"/>
      <w:sz w:val="22"/>
      <w:u w:val="single"/>
    </w:rPr>
  </w:style>
  <w:style w:type="paragraph" w:styleId="ListParagraph">
    <w:name w:val="List Paragraph"/>
    <w:aliases w:val="Numbered list"/>
    <w:basedOn w:val="Normal"/>
    <w:link w:val="ListParagraphChar"/>
    <w:uiPriority w:val="34"/>
    <w:qFormat/>
    <w:rsid w:val="00EE4F71"/>
    <w:pPr>
      <w:widowControl w:val="0"/>
      <w:autoSpaceDE w:val="0"/>
      <w:autoSpaceDN w:val="0"/>
      <w:adjustRightInd w:val="0"/>
      <w:spacing w:after="120" w:line="276" w:lineRule="auto"/>
      <w:contextualSpacing/>
    </w:pPr>
    <w:rPr>
      <w:rFonts w:ascii="Calibri" w:hAnsi="Calibri" w:cs="Arial" w:eastAsiaTheme="minorEastAsia"/>
      <w:lang w:eastAsia="ja-JP"/>
    </w:rPr>
  </w:style>
  <w:style w:type="paragraph" w:styleId="Footer">
    <w:name w:val="footer"/>
    <w:basedOn w:val="Normal"/>
    <w:link w:val="FooterChar"/>
    <w:uiPriority w:val="99"/>
    <w:unhideWhenUsed/>
    <w:rsid w:val="00EE4F71"/>
    <w:pPr>
      <w:widowControl w:val="0"/>
      <w:tabs>
        <w:tab w:val="center" w:pos="4320"/>
        <w:tab w:val="right" w:pos="8640"/>
      </w:tabs>
      <w:autoSpaceDE w:val="0"/>
      <w:autoSpaceDN w:val="0"/>
      <w:adjustRightInd w:val="0"/>
      <w:spacing w:after="120" w:line="276" w:lineRule="auto"/>
    </w:pPr>
    <w:rPr>
      <w:rFonts w:ascii="Calibri" w:hAnsi="Calibri" w:cs="Arial" w:eastAsiaTheme="minorEastAsia"/>
      <w:lang w:eastAsia="ja-JP"/>
    </w:rPr>
  </w:style>
  <w:style w:type="character" w:styleId="FooterChar" w:customStyle="1">
    <w:name w:val="Footer Char"/>
    <w:basedOn w:val="DefaultParagraphFont"/>
    <w:link w:val="Footer"/>
    <w:uiPriority w:val="99"/>
    <w:rsid w:val="00EE4F71"/>
    <w:rPr>
      <w:rFonts w:ascii="Calibri" w:hAnsi="Calibri" w:cs="Arial" w:eastAsiaTheme="minorEastAsia"/>
      <w:lang w:eastAsia="ja-JP"/>
    </w:rPr>
  </w:style>
  <w:style w:type="paragraph" w:styleId="MainHeaderGold" w:customStyle="1">
    <w:name w:val="Main Header Gold"/>
    <w:next w:val="BodyText"/>
    <w:link w:val="MainHeaderGoldChar"/>
    <w:qFormat/>
    <w:rsid w:val="00EE4F71"/>
    <w:pPr>
      <w:widowControl w:val="0"/>
      <w:autoSpaceDE w:val="0"/>
      <w:autoSpaceDN w:val="0"/>
      <w:adjustRightInd w:val="0"/>
      <w:spacing w:after="0" w:line="240" w:lineRule="auto"/>
    </w:pPr>
    <w:rPr>
      <w:rFonts w:ascii="Calibri" w:hAnsi="Calibri" w:eastAsia="Times New Roman" w:cs="Times New Roman"/>
      <w:b/>
      <w:color w:val="700000"/>
      <w:spacing w:val="20"/>
      <w:sz w:val="44"/>
      <w:szCs w:val="60"/>
    </w:rPr>
  </w:style>
  <w:style w:type="character" w:styleId="MainHeaderGoldChar" w:customStyle="1">
    <w:name w:val="Main Header Gold Char"/>
    <w:basedOn w:val="DefaultParagraphFont"/>
    <w:link w:val="MainHeaderGold"/>
    <w:rsid w:val="00EE4F71"/>
    <w:rPr>
      <w:rFonts w:ascii="Calibri" w:hAnsi="Calibri" w:eastAsia="Times New Roman" w:cs="Times New Roman"/>
      <w:b/>
      <w:color w:val="700000"/>
      <w:spacing w:val="20"/>
      <w:sz w:val="44"/>
      <w:szCs w:val="60"/>
    </w:rPr>
  </w:style>
  <w:style w:type="paragraph" w:styleId="Header">
    <w:name w:val="header"/>
    <w:basedOn w:val="Normal"/>
    <w:link w:val="HeaderChar"/>
    <w:uiPriority w:val="99"/>
    <w:unhideWhenUsed/>
    <w:rsid w:val="00EE4F71"/>
    <w:pPr>
      <w:widowControl w:val="0"/>
      <w:tabs>
        <w:tab w:val="center" w:pos="4320"/>
        <w:tab w:val="right" w:pos="8640"/>
      </w:tabs>
      <w:autoSpaceDE w:val="0"/>
      <w:autoSpaceDN w:val="0"/>
      <w:adjustRightInd w:val="0"/>
      <w:spacing w:after="120" w:line="240" w:lineRule="auto"/>
    </w:pPr>
    <w:rPr>
      <w:rFonts w:ascii="Calibri" w:hAnsi="Calibri" w:cs="Arial" w:eastAsiaTheme="minorEastAsia"/>
      <w:lang w:eastAsia="ja-JP"/>
    </w:rPr>
  </w:style>
  <w:style w:type="character" w:styleId="HeaderChar" w:customStyle="1">
    <w:name w:val="Header Char"/>
    <w:basedOn w:val="DefaultParagraphFont"/>
    <w:link w:val="Header"/>
    <w:uiPriority w:val="99"/>
    <w:rsid w:val="00EE4F71"/>
    <w:rPr>
      <w:rFonts w:ascii="Calibri" w:hAnsi="Calibri" w:cs="Arial" w:eastAsiaTheme="minorEastAsia"/>
      <w:lang w:eastAsia="ja-JP"/>
    </w:rPr>
  </w:style>
  <w:style w:type="character" w:styleId="ListParagraphChar" w:customStyle="1">
    <w:name w:val="List Paragraph Char"/>
    <w:aliases w:val="Numbered list Char"/>
    <w:basedOn w:val="DefaultParagraphFont"/>
    <w:link w:val="ListParagraph"/>
    <w:uiPriority w:val="34"/>
    <w:rsid w:val="00EE4F71"/>
    <w:rPr>
      <w:rFonts w:ascii="Calibri" w:hAnsi="Calibri" w:cs="Arial" w:eastAsiaTheme="minorEastAsia"/>
      <w:lang w:eastAsia="ja-JP"/>
    </w:rPr>
  </w:style>
  <w:style w:type="character" w:styleId="CommentReference">
    <w:name w:val="annotation reference"/>
    <w:basedOn w:val="DefaultParagraphFont"/>
    <w:uiPriority w:val="99"/>
    <w:semiHidden/>
    <w:unhideWhenUsed/>
    <w:rsid w:val="00EE4F71"/>
    <w:rPr>
      <w:sz w:val="18"/>
      <w:szCs w:val="18"/>
    </w:rPr>
  </w:style>
  <w:style w:type="paragraph" w:styleId="CommentText">
    <w:name w:val="annotation text"/>
    <w:basedOn w:val="Normal"/>
    <w:link w:val="CommentTextChar"/>
    <w:uiPriority w:val="99"/>
    <w:semiHidden/>
    <w:unhideWhenUsed/>
    <w:rsid w:val="00EE4F71"/>
    <w:pPr>
      <w:widowControl w:val="0"/>
      <w:autoSpaceDE w:val="0"/>
      <w:autoSpaceDN w:val="0"/>
      <w:adjustRightInd w:val="0"/>
      <w:spacing w:after="120" w:line="240" w:lineRule="auto"/>
    </w:pPr>
    <w:rPr>
      <w:rFonts w:ascii="Calibri" w:hAnsi="Calibri" w:cs="Arial" w:eastAsiaTheme="minorEastAsia"/>
      <w:sz w:val="24"/>
      <w:szCs w:val="24"/>
      <w:lang w:eastAsia="ja-JP"/>
    </w:rPr>
  </w:style>
  <w:style w:type="character" w:styleId="CommentTextChar" w:customStyle="1">
    <w:name w:val="Comment Text Char"/>
    <w:basedOn w:val="DefaultParagraphFont"/>
    <w:link w:val="CommentText"/>
    <w:uiPriority w:val="99"/>
    <w:semiHidden/>
    <w:rsid w:val="00EE4F71"/>
    <w:rPr>
      <w:rFonts w:ascii="Calibri" w:hAnsi="Calibri" w:cs="Arial" w:eastAsiaTheme="minorEastAsia"/>
      <w:sz w:val="24"/>
      <w:szCs w:val="24"/>
      <w:lang w:eastAsia="ja-JP"/>
    </w:rPr>
  </w:style>
  <w:style w:type="paragraph" w:styleId="BodyText">
    <w:name w:val="Body Text"/>
    <w:basedOn w:val="Normal"/>
    <w:link w:val="BodyTextChar"/>
    <w:uiPriority w:val="99"/>
    <w:semiHidden/>
    <w:unhideWhenUsed/>
    <w:rsid w:val="00EE4F71"/>
    <w:pPr>
      <w:spacing w:after="120"/>
    </w:pPr>
  </w:style>
  <w:style w:type="character" w:styleId="BodyTextChar" w:customStyle="1">
    <w:name w:val="Body Text Char"/>
    <w:basedOn w:val="DefaultParagraphFont"/>
    <w:link w:val="BodyText"/>
    <w:uiPriority w:val="99"/>
    <w:semiHidden/>
    <w:rsid w:val="00EE4F71"/>
  </w:style>
  <w:style w:type="paragraph" w:styleId="CommentSubject">
    <w:name w:val="annotation subject"/>
    <w:basedOn w:val="CommentText"/>
    <w:next w:val="CommentText"/>
    <w:link w:val="CommentSubjectChar"/>
    <w:uiPriority w:val="99"/>
    <w:semiHidden/>
    <w:unhideWhenUsed/>
    <w:rsid w:val="00B60043"/>
    <w:pPr>
      <w:widowControl/>
      <w:autoSpaceDE/>
      <w:autoSpaceDN/>
      <w:adjustRightInd/>
      <w:spacing w:after="160"/>
    </w:pPr>
    <w:rPr>
      <w:rFonts w:asciiTheme="minorHAnsi" w:hAnsiTheme="minorHAnsi" w:eastAsiaTheme="minorHAnsi" w:cstheme="minorBidi"/>
      <w:b/>
      <w:bCs/>
      <w:sz w:val="20"/>
      <w:szCs w:val="20"/>
      <w:lang w:eastAsia="en-US"/>
    </w:rPr>
  </w:style>
  <w:style w:type="character" w:styleId="CommentSubjectChar" w:customStyle="1">
    <w:name w:val="Comment Subject Char"/>
    <w:basedOn w:val="CommentTextChar"/>
    <w:link w:val="CommentSubject"/>
    <w:uiPriority w:val="99"/>
    <w:semiHidden/>
    <w:rsid w:val="00B60043"/>
    <w:rPr>
      <w:rFonts w:ascii="Calibri" w:hAnsi="Calibri" w:cs="Arial" w:eastAsiaTheme="minorEastAsia"/>
      <w:b/>
      <w:bCs/>
      <w:sz w:val="20"/>
      <w:szCs w:val="20"/>
      <w:lang w:eastAsia="ja-JP"/>
    </w:rPr>
  </w:style>
  <w:style w:type="character" w:styleId="UnresolvedMention">
    <w:name w:val="Unresolved Mention"/>
    <w:basedOn w:val="DefaultParagraphFont"/>
    <w:uiPriority w:val="99"/>
    <w:semiHidden/>
    <w:unhideWhenUsed/>
    <w:rsid w:val="00DF2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2499">
      <w:bodyDiv w:val="1"/>
      <w:marLeft w:val="0"/>
      <w:marRight w:val="0"/>
      <w:marTop w:val="0"/>
      <w:marBottom w:val="0"/>
      <w:divBdr>
        <w:top w:val="none" w:sz="0" w:space="0" w:color="auto"/>
        <w:left w:val="none" w:sz="0" w:space="0" w:color="auto"/>
        <w:bottom w:val="none" w:sz="0" w:space="0" w:color="auto"/>
        <w:right w:val="none" w:sz="0" w:space="0" w:color="auto"/>
      </w:divBdr>
    </w:div>
    <w:div w:id="1664577651">
      <w:bodyDiv w:val="1"/>
      <w:marLeft w:val="0"/>
      <w:marRight w:val="0"/>
      <w:marTop w:val="0"/>
      <w:marBottom w:val="0"/>
      <w:divBdr>
        <w:top w:val="none" w:sz="0" w:space="0" w:color="auto"/>
        <w:left w:val="none" w:sz="0" w:space="0" w:color="auto"/>
        <w:bottom w:val="none" w:sz="0" w:space="0" w:color="auto"/>
        <w:right w:val="none" w:sz="0" w:space="0" w:color="auto"/>
      </w:divBdr>
    </w:div>
    <w:div w:id="19469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local.gov.uk/public-mental-health-and-wellbeing-and-covid-19"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adph.org.uk/2020/05/statement-of-principles-covid-19-contact-tracing/"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word/glossary/document.xml" Id="R3fbdf43c79094b5a" /></Relationships>
</file>

<file path=word/_rels/footer1.xml.rels><?xml version="1.0" encoding="UTF-8" standalone="yes"?>
<Relationships xmlns="http://schemas.openxmlformats.org/package/2006/relationships"><Relationship Id="rId2" Type="http://schemas.openxmlformats.org/officeDocument/2006/relationships/hyperlink" Target="http://www.adph.org.uk" TargetMode="External"/><Relationship Id="rId1" Type="http://schemas.openxmlformats.org/officeDocument/2006/relationships/hyperlink" Target="mailto:enquiries@adph.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dph.org.uk" TargetMode="External"/><Relationship Id="rId1" Type="http://schemas.openxmlformats.org/officeDocument/2006/relationships/hyperlink" Target="mailto:enquiries@adp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63c675b-1ce2-40df-b537-299af9dda3d8}"/>
      </w:docPartPr>
      <w:docPartBody>
        <w:p w14:paraId="4AC8BBE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DB30B9D89BDA468EC7C5003D9D863D" ma:contentTypeVersion="12" ma:contentTypeDescription="Create a new document." ma:contentTypeScope="" ma:versionID="08822561b0c7999440de97d750c4ac4e">
  <xsd:schema xmlns:xsd="http://www.w3.org/2001/XMLSchema" xmlns:xs="http://www.w3.org/2001/XMLSchema" xmlns:p="http://schemas.microsoft.com/office/2006/metadata/properties" xmlns:ns2="e1fe4b1f-6fce-496b-b1a7-e7dbd7383e57" xmlns:ns3="2df08189-d2b5-4737-8685-567a22d7037c" targetNamespace="http://schemas.microsoft.com/office/2006/metadata/properties" ma:root="true" ma:fieldsID="560b2a9b1bc0f0217c2bc8017105bff7" ns2:_="" ns3:_="">
    <xsd:import namespace="e1fe4b1f-6fce-496b-b1a7-e7dbd7383e57"/>
    <xsd:import namespace="2df08189-d2b5-4737-8685-567a22d703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e4b1f-6fce-496b-b1a7-e7dbd7383e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08189-d2b5-4737-8685-567a22d7037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23BA1-7620-4603-9E7E-C67F547BBC8E}">
  <ds:schemaRefs>
    <ds:schemaRef ds:uri="http://schemas.microsoft.com/sharepoint/v3/contenttype/forms"/>
  </ds:schemaRefs>
</ds:datastoreItem>
</file>

<file path=customXml/itemProps2.xml><?xml version="1.0" encoding="utf-8"?>
<ds:datastoreItem xmlns:ds="http://schemas.openxmlformats.org/officeDocument/2006/customXml" ds:itemID="{CDCDE65E-826D-40E9-86D7-283A05EFB1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DAF672-29B3-4B45-BB2A-0F39D4E39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e4b1f-6fce-496b-b1a7-e7dbd7383e57"/>
    <ds:schemaRef ds:uri="2df08189-d2b5-4737-8685-567a22d70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CC277D-EC6E-411C-A45B-C4026E9D056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Lucy Sutton</dc:creator>
  <keywords/>
  <dc:description/>
  <lastModifiedBy>Lucy Sutton</lastModifiedBy>
  <revision>47</revision>
  <dcterms:created xsi:type="dcterms:W3CDTF">2020-05-02T04:43:00.0000000Z</dcterms:created>
  <dcterms:modified xsi:type="dcterms:W3CDTF">2020-06-19T10:04:26.6094725Z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0x010100ACDB30B9D89BDA468EC7C5003D9D863D</vt:lpwstr>
  </property>
</Properties>
</file>