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1242" w14:textId="6E02B07F" w:rsidR="00C8006D" w:rsidRPr="00177D97" w:rsidRDefault="00C8006D" w:rsidP="003860A7">
      <w:pPr>
        <w:spacing w:after="20"/>
        <w:rPr>
          <w:rFonts w:ascii="Arial" w:hAnsi="Arial" w:cs="Arial"/>
          <w:i/>
          <w:iCs/>
        </w:rPr>
      </w:pPr>
      <w:r w:rsidRPr="0014117D">
        <w:rPr>
          <w:rFonts w:ascii="Arial" w:hAnsi="Arial" w:cs="Arial"/>
          <w:noProof/>
        </w:rPr>
        <w:drawing>
          <wp:inline distT="0" distB="0" distL="0" distR="0" wp14:anchorId="7766B3CC" wp14:editId="01975B89">
            <wp:extent cx="1250950" cy="757555"/>
            <wp:effectExtent l="0" t="0" r="6350" b="444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50950" cy="757555"/>
                    </a:xfrm>
                    <a:prstGeom prst="rect">
                      <a:avLst/>
                    </a:prstGeom>
                  </pic:spPr>
                </pic:pic>
              </a:graphicData>
            </a:graphic>
          </wp:inline>
        </w:drawing>
      </w:r>
      <w:r w:rsidRPr="0014117D">
        <w:rPr>
          <w:rFonts w:ascii="Arial" w:hAnsi="Arial" w:cs="Arial"/>
        </w:rPr>
        <w:t xml:space="preserve"> </w:t>
      </w:r>
      <w:r w:rsidR="004118EE" w:rsidRPr="0014117D">
        <w:rPr>
          <w:rFonts w:ascii="Arial" w:hAnsi="Arial" w:cs="Arial"/>
        </w:rPr>
        <w:tab/>
      </w:r>
      <w:r w:rsidR="00CC6CEC" w:rsidRPr="0014117D">
        <w:rPr>
          <w:rFonts w:ascii="Arial" w:hAnsi="Arial" w:cs="Arial"/>
          <w:noProof/>
        </w:rPr>
        <w:drawing>
          <wp:inline distT="0" distB="0" distL="0" distR="0" wp14:anchorId="14CD7E13" wp14:editId="7386A5FB">
            <wp:extent cx="863373" cy="771525"/>
            <wp:effectExtent l="0" t="0" r="0" b="0"/>
            <wp:docPr id="3" name="Picture 3" descr="A green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ular sign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0701" cy="778074"/>
                    </a:xfrm>
                    <a:prstGeom prst="rect">
                      <a:avLst/>
                    </a:prstGeom>
                  </pic:spPr>
                </pic:pic>
              </a:graphicData>
            </a:graphic>
          </wp:inline>
        </w:drawing>
      </w:r>
      <w:r w:rsidR="00177D97">
        <w:rPr>
          <w:rFonts w:ascii="Arial" w:hAnsi="Arial" w:cs="Arial"/>
        </w:rPr>
        <w:t xml:space="preserve">   </w:t>
      </w:r>
      <w:r w:rsidR="00177D97">
        <w:rPr>
          <w:rFonts w:ascii="Arial" w:hAnsi="Arial" w:cs="Arial"/>
          <w:i/>
          <w:iCs/>
        </w:rPr>
        <w:t>(You can move logos into the header if you wish)</w:t>
      </w:r>
    </w:p>
    <w:p w14:paraId="60AC1620" w14:textId="4B76D6AD" w:rsidR="00C23FC4" w:rsidRPr="0014117D" w:rsidRDefault="00C23FC4" w:rsidP="003860A7">
      <w:pPr>
        <w:tabs>
          <w:tab w:val="left" w:pos="3030"/>
        </w:tabs>
        <w:spacing w:after="20"/>
        <w:rPr>
          <w:rFonts w:ascii="Arial" w:hAnsi="Arial" w:cs="Arial"/>
        </w:rPr>
      </w:pPr>
    </w:p>
    <w:p w14:paraId="5A24E304" w14:textId="7FE2B910" w:rsidR="0059339F" w:rsidRPr="0014117D" w:rsidRDefault="0059339F" w:rsidP="003860A7">
      <w:pPr>
        <w:tabs>
          <w:tab w:val="left" w:pos="3030"/>
        </w:tabs>
        <w:spacing w:after="20"/>
        <w:rPr>
          <w:rFonts w:ascii="Arial" w:hAnsi="Arial" w:cs="Arial"/>
          <w:b/>
          <w:bCs/>
        </w:rPr>
      </w:pPr>
      <w:r w:rsidRPr="0014117D">
        <w:rPr>
          <w:rFonts w:ascii="Arial" w:hAnsi="Arial" w:cs="Arial"/>
          <w:b/>
          <w:bCs/>
        </w:rPr>
        <w:t>Sent via Email</w:t>
      </w:r>
    </w:p>
    <w:p w14:paraId="0A64C596" w14:textId="089C40C4" w:rsidR="0059339F" w:rsidRPr="0014117D" w:rsidRDefault="0059339F" w:rsidP="003860A7">
      <w:pPr>
        <w:tabs>
          <w:tab w:val="left" w:pos="3030"/>
        </w:tabs>
        <w:spacing w:after="20"/>
        <w:rPr>
          <w:rFonts w:ascii="Arial" w:hAnsi="Arial" w:cs="Arial"/>
          <w:highlight w:val="yellow"/>
        </w:rPr>
      </w:pPr>
      <w:r w:rsidRPr="0014117D">
        <w:rPr>
          <w:rFonts w:ascii="Arial" w:hAnsi="Arial" w:cs="Arial"/>
          <w:highlight w:val="yellow"/>
        </w:rPr>
        <w:t>Name</w:t>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t>Your Name</w:t>
      </w:r>
    </w:p>
    <w:p w14:paraId="25DC9DB7" w14:textId="56468AAE" w:rsidR="0059339F" w:rsidRPr="0014117D" w:rsidRDefault="0059339F" w:rsidP="003860A7">
      <w:pPr>
        <w:tabs>
          <w:tab w:val="left" w:pos="3030"/>
        </w:tabs>
        <w:spacing w:after="20"/>
        <w:rPr>
          <w:rFonts w:ascii="Arial" w:hAnsi="Arial" w:cs="Arial"/>
          <w:highlight w:val="yellow"/>
        </w:rPr>
      </w:pPr>
      <w:r w:rsidRPr="0014117D">
        <w:rPr>
          <w:rFonts w:ascii="Arial" w:hAnsi="Arial" w:cs="Arial"/>
          <w:highlight w:val="yellow"/>
        </w:rPr>
        <w:t>Rank/Role</w:t>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t>Your Role</w:t>
      </w:r>
    </w:p>
    <w:p w14:paraId="09138B28" w14:textId="251B38C8" w:rsidR="0059339F" w:rsidRPr="0014117D" w:rsidRDefault="0059339F" w:rsidP="003860A7">
      <w:pPr>
        <w:tabs>
          <w:tab w:val="left" w:pos="3030"/>
        </w:tabs>
        <w:spacing w:after="20"/>
        <w:rPr>
          <w:rFonts w:ascii="Arial" w:hAnsi="Arial" w:cs="Arial"/>
        </w:rPr>
      </w:pPr>
      <w:r w:rsidRPr="0014117D">
        <w:rPr>
          <w:rFonts w:ascii="Arial" w:hAnsi="Arial" w:cs="Arial"/>
          <w:highlight w:val="yellow"/>
        </w:rPr>
        <w:t>Police HQ Address</w:t>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r>
      <w:r w:rsidR="00461824" w:rsidRPr="0014117D">
        <w:rPr>
          <w:rFonts w:ascii="Arial" w:hAnsi="Arial" w:cs="Arial"/>
          <w:highlight w:val="yellow"/>
        </w:rPr>
        <w:tab/>
        <w:t>LA/PH Team Address</w:t>
      </w:r>
    </w:p>
    <w:p w14:paraId="17236236" w14:textId="77777777" w:rsidR="00461824" w:rsidRPr="0014117D" w:rsidRDefault="00461824" w:rsidP="003860A7">
      <w:pPr>
        <w:tabs>
          <w:tab w:val="left" w:pos="3030"/>
        </w:tabs>
        <w:spacing w:after="20"/>
        <w:rPr>
          <w:rFonts w:ascii="Arial" w:hAnsi="Arial" w:cs="Arial"/>
        </w:rPr>
      </w:pPr>
    </w:p>
    <w:p w14:paraId="72887CDE" w14:textId="6FB523E7" w:rsidR="00461824" w:rsidRPr="0014117D" w:rsidRDefault="00461824" w:rsidP="003860A7">
      <w:pPr>
        <w:tabs>
          <w:tab w:val="left" w:pos="3030"/>
        </w:tabs>
        <w:spacing w:after="20"/>
        <w:rPr>
          <w:rFonts w:ascii="Arial" w:hAnsi="Arial" w:cs="Arial"/>
        </w:rPr>
      </w:pPr>
      <w:r w:rsidRPr="0014117D">
        <w:rPr>
          <w:rFonts w:ascii="Arial" w:hAnsi="Arial" w:cs="Arial"/>
          <w:highlight w:val="yellow"/>
        </w:rPr>
        <w:t>Date</w:t>
      </w:r>
    </w:p>
    <w:p w14:paraId="2B84A13F" w14:textId="77777777" w:rsidR="003860A7" w:rsidRPr="0014117D" w:rsidRDefault="003860A7" w:rsidP="003860A7">
      <w:pPr>
        <w:tabs>
          <w:tab w:val="left" w:pos="3030"/>
        </w:tabs>
        <w:spacing w:after="20"/>
        <w:rPr>
          <w:rFonts w:ascii="Arial" w:hAnsi="Arial" w:cs="Arial"/>
        </w:rPr>
      </w:pPr>
    </w:p>
    <w:p w14:paraId="724649E4" w14:textId="7E950CE0" w:rsidR="003860A7" w:rsidRPr="0014117D" w:rsidRDefault="003860A7" w:rsidP="003860A7">
      <w:pPr>
        <w:tabs>
          <w:tab w:val="left" w:pos="3030"/>
        </w:tabs>
        <w:spacing w:after="20"/>
        <w:rPr>
          <w:rFonts w:ascii="Arial" w:hAnsi="Arial" w:cs="Arial"/>
        </w:rPr>
      </w:pPr>
      <w:r w:rsidRPr="0014117D">
        <w:rPr>
          <w:rFonts w:ascii="Arial" w:hAnsi="Arial" w:cs="Arial"/>
          <w:highlight w:val="yellow"/>
        </w:rPr>
        <w:t>Dear Sir/Madam (delete as appropriate)</w:t>
      </w:r>
    </w:p>
    <w:p w14:paraId="40774CFE" w14:textId="77777777" w:rsidR="0020642F" w:rsidRPr="0014117D" w:rsidRDefault="0020642F" w:rsidP="003860A7">
      <w:pPr>
        <w:tabs>
          <w:tab w:val="left" w:pos="3030"/>
        </w:tabs>
        <w:spacing w:after="20"/>
        <w:rPr>
          <w:rFonts w:ascii="Arial" w:hAnsi="Arial" w:cs="Arial"/>
        </w:rPr>
      </w:pPr>
    </w:p>
    <w:p w14:paraId="6F3B41E7" w14:textId="20EFAA2D" w:rsidR="0020642F" w:rsidRPr="0014117D" w:rsidRDefault="000579E0" w:rsidP="00E32EAA">
      <w:pPr>
        <w:tabs>
          <w:tab w:val="left" w:pos="3030"/>
        </w:tabs>
        <w:spacing w:after="20"/>
        <w:rPr>
          <w:rFonts w:ascii="Arial" w:hAnsi="Arial" w:cs="Arial"/>
          <w:b/>
          <w:bCs/>
          <w:i/>
          <w:iCs/>
        </w:rPr>
      </w:pPr>
      <w:r w:rsidRPr="0014117D">
        <w:rPr>
          <w:rFonts w:ascii="Arial" w:hAnsi="Arial" w:cs="Arial"/>
          <w:b/>
          <w:bCs/>
          <w:i/>
          <w:iCs/>
        </w:rPr>
        <w:t xml:space="preserve">Re: </w:t>
      </w:r>
      <w:r w:rsidR="0020642F" w:rsidRPr="0014117D">
        <w:rPr>
          <w:rFonts w:ascii="Arial" w:hAnsi="Arial" w:cs="Arial"/>
          <w:b/>
          <w:bCs/>
          <w:i/>
          <w:iCs/>
        </w:rPr>
        <w:t>Letter of Comfort Request</w:t>
      </w:r>
      <w:r w:rsidRPr="0014117D">
        <w:rPr>
          <w:rFonts w:ascii="Arial" w:hAnsi="Arial" w:cs="Arial"/>
          <w:b/>
          <w:bCs/>
          <w:i/>
          <w:iCs/>
        </w:rPr>
        <w:t xml:space="preserve"> / </w:t>
      </w:r>
      <w:r w:rsidR="00E32EAA" w:rsidRPr="0014117D">
        <w:rPr>
          <w:rFonts w:ascii="Arial" w:hAnsi="Arial" w:cs="Arial"/>
          <w:b/>
          <w:bCs/>
          <w:i/>
          <w:iCs/>
          <w:lang w:eastAsia="en-GB"/>
        </w:rPr>
        <w:t>Distribution by drug services and all other community services which deliver harm reduction approaches to drug users of items designed to reduce drug related harm that are not specifically exempt from the provisions of The Misuse of Drugs Act, Section 9A, namely a pipe</w:t>
      </w:r>
      <w:r w:rsidR="00BA2842">
        <w:rPr>
          <w:rFonts w:ascii="Arial" w:hAnsi="Arial" w:cs="Arial"/>
          <w:b/>
          <w:bCs/>
          <w:i/>
          <w:iCs/>
          <w:lang w:eastAsia="en-GB"/>
        </w:rPr>
        <w:t>/safer inhalation</w:t>
      </w:r>
      <w:r w:rsidR="00E32EAA" w:rsidRPr="0014117D">
        <w:rPr>
          <w:rFonts w:ascii="Arial" w:hAnsi="Arial" w:cs="Arial"/>
          <w:b/>
          <w:bCs/>
          <w:i/>
          <w:iCs/>
          <w:lang w:eastAsia="en-GB"/>
        </w:rPr>
        <w:t xml:space="preserve"> kit for the purpose of smoking crack cocaine.</w:t>
      </w:r>
    </w:p>
    <w:p w14:paraId="5099AA1A" w14:textId="77777777" w:rsidR="0020642F" w:rsidRPr="0014117D" w:rsidRDefault="0020642F" w:rsidP="003860A7">
      <w:pPr>
        <w:tabs>
          <w:tab w:val="left" w:pos="3030"/>
        </w:tabs>
        <w:spacing w:after="20"/>
        <w:rPr>
          <w:rFonts w:ascii="Arial" w:hAnsi="Arial" w:cs="Arial"/>
          <w:b/>
          <w:bCs/>
          <w:i/>
          <w:iCs/>
        </w:rPr>
      </w:pPr>
    </w:p>
    <w:p w14:paraId="7C091233" w14:textId="69F38687" w:rsidR="0020642F" w:rsidRPr="0014117D" w:rsidRDefault="00CA085D" w:rsidP="003860A7">
      <w:pPr>
        <w:tabs>
          <w:tab w:val="left" w:pos="3030"/>
        </w:tabs>
        <w:spacing w:after="20"/>
        <w:rPr>
          <w:rFonts w:ascii="Arial" w:hAnsi="Arial" w:cs="Arial"/>
        </w:rPr>
      </w:pPr>
      <w:r w:rsidRPr="0014117D">
        <w:rPr>
          <w:rFonts w:ascii="Arial" w:hAnsi="Arial" w:cs="Arial"/>
        </w:rPr>
        <w:t xml:space="preserve">Section 9A of the Misuse of Drugs Act 1971 </w:t>
      </w:r>
      <w:r w:rsidR="00420EC1" w:rsidRPr="0014117D">
        <w:rPr>
          <w:rFonts w:ascii="Arial" w:hAnsi="Arial" w:cs="Arial"/>
        </w:rPr>
        <w:t>is a general prohibition on the supply of items to be used for the preparation or consumption of illicit drugs. However, the Act does include provisions to allow drug service</w:t>
      </w:r>
      <w:r w:rsidR="008B42C9" w:rsidRPr="0014117D">
        <w:rPr>
          <w:rFonts w:ascii="Arial" w:hAnsi="Arial" w:cs="Arial"/>
        </w:rPr>
        <w:t>s</w:t>
      </w:r>
      <w:r w:rsidR="00420EC1" w:rsidRPr="0014117D">
        <w:rPr>
          <w:rFonts w:ascii="Arial" w:hAnsi="Arial" w:cs="Arial"/>
        </w:rPr>
        <w:t xml:space="preserve"> to lawfully supply people who inject drugs with needles, </w:t>
      </w:r>
      <w:r w:rsidR="006D7D82" w:rsidRPr="0014117D">
        <w:rPr>
          <w:rFonts w:ascii="Arial" w:hAnsi="Arial" w:cs="Arial"/>
        </w:rPr>
        <w:t>syringes, pre-injection swabs, spoons, citric acid and ascorbic acid, filters, ampoules of water for injection, and foil. These are supplied to reduce the risk of transmission of blood borne viral infections, such as HIV and viral hepatitis amongst injecting drug user populations and the wider community.</w:t>
      </w:r>
      <w:r w:rsidR="00467BB7" w:rsidRPr="0014117D">
        <w:rPr>
          <w:rFonts w:ascii="Arial" w:hAnsi="Arial" w:cs="Arial"/>
        </w:rPr>
        <w:t xml:space="preserve"> The </w:t>
      </w:r>
      <w:r w:rsidR="008B42C9" w:rsidRPr="0014117D">
        <w:rPr>
          <w:rFonts w:ascii="Arial" w:hAnsi="Arial" w:cs="Arial"/>
        </w:rPr>
        <w:t>list</w:t>
      </w:r>
      <w:r w:rsidR="00467BB7" w:rsidRPr="0014117D">
        <w:rPr>
          <w:rFonts w:ascii="Arial" w:hAnsi="Arial" w:cs="Arial"/>
        </w:rPr>
        <w:t xml:space="preserve"> of exempt items has been extended several times in recent years to add items of paraphernalia that were previously illegal, with the express intention of removing the threat of prosecution from drug workers which </w:t>
      </w:r>
      <w:r w:rsidR="00F8117E" w:rsidRPr="0014117D">
        <w:rPr>
          <w:rFonts w:ascii="Arial" w:hAnsi="Arial" w:cs="Arial"/>
        </w:rPr>
        <w:t>enables them to safely undertake harm reduction programmes that have significant positive impacts on blood born</w:t>
      </w:r>
      <w:r w:rsidR="008C0742" w:rsidRPr="0014117D">
        <w:rPr>
          <w:rFonts w:ascii="Arial" w:hAnsi="Arial" w:cs="Arial"/>
        </w:rPr>
        <w:t>e</w:t>
      </w:r>
      <w:r w:rsidR="00F8117E" w:rsidRPr="0014117D">
        <w:rPr>
          <w:rFonts w:ascii="Arial" w:hAnsi="Arial" w:cs="Arial"/>
        </w:rPr>
        <w:t xml:space="preserve"> virus transmission rates</w:t>
      </w:r>
      <w:r w:rsidR="00B55D48" w:rsidRPr="0014117D">
        <w:rPr>
          <w:rStyle w:val="FootnoteReference"/>
          <w:rFonts w:ascii="Arial" w:hAnsi="Arial" w:cs="Arial"/>
        </w:rPr>
        <w:footnoteReference w:id="1"/>
      </w:r>
      <w:r w:rsidR="00F8117E" w:rsidRPr="0014117D">
        <w:rPr>
          <w:rFonts w:ascii="Arial" w:hAnsi="Arial" w:cs="Arial"/>
        </w:rPr>
        <w:t>.</w:t>
      </w:r>
      <w:r w:rsidR="00965344" w:rsidRPr="0014117D">
        <w:rPr>
          <w:rFonts w:ascii="Arial" w:hAnsi="Arial" w:cs="Arial"/>
        </w:rPr>
        <w:t xml:space="preserve"> In addition to this there is emerging evidence that crack pipe</w:t>
      </w:r>
      <w:r w:rsidR="00427B53">
        <w:rPr>
          <w:rFonts w:ascii="Arial" w:hAnsi="Arial" w:cs="Arial"/>
        </w:rPr>
        <w:t>/safer inhalation</w:t>
      </w:r>
      <w:r w:rsidR="00965344" w:rsidRPr="0014117D">
        <w:rPr>
          <w:rFonts w:ascii="Arial" w:hAnsi="Arial" w:cs="Arial"/>
        </w:rPr>
        <w:t xml:space="preserve"> kit distribution can provide </w:t>
      </w:r>
      <w:r w:rsidR="00775905" w:rsidRPr="0014117D">
        <w:rPr>
          <w:rFonts w:ascii="Arial" w:hAnsi="Arial" w:cs="Arial"/>
        </w:rPr>
        <w:t>positive benefits in relation to drug services being able to effectively engage drug users in treatment</w:t>
      </w:r>
      <w:r w:rsidR="003B2C4D" w:rsidRPr="0014117D">
        <w:rPr>
          <w:rFonts w:ascii="Arial" w:hAnsi="Arial" w:cs="Arial"/>
        </w:rPr>
        <w:t xml:space="preserve"> programmes</w:t>
      </w:r>
      <w:r w:rsidR="002C1F9E" w:rsidRPr="0014117D">
        <w:rPr>
          <w:rStyle w:val="FootnoteReference"/>
          <w:rFonts w:ascii="Arial" w:hAnsi="Arial" w:cs="Arial"/>
        </w:rPr>
        <w:footnoteReference w:id="2"/>
      </w:r>
      <w:r w:rsidR="003B2C4D" w:rsidRPr="0014117D">
        <w:rPr>
          <w:rFonts w:ascii="Arial" w:hAnsi="Arial" w:cs="Arial"/>
        </w:rPr>
        <w:t>.</w:t>
      </w:r>
      <w:r w:rsidR="00F13DEA" w:rsidRPr="0014117D">
        <w:rPr>
          <w:rFonts w:ascii="Arial" w:hAnsi="Arial" w:cs="Arial"/>
        </w:rPr>
        <w:t xml:space="preserve"> Supply of crack pipes</w:t>
      </w:r>
      <w:r w:rsidR="00427B53">
        <w:rPr>
          <w:rFonts w:ascii="Arial" w:hAnsi="Arial" w:cs="Arial"/>
        </w:rPr>
        <w:t xml:space="preserve">/safer inhalation kits </w:t>
      </w:r>
      <w:r w:rsidR="00F13DEA" w:rsidRPr="0014117D">
        <w:rPr>
          <w:rFonts w:ascii="Arial" w:hAnsi="Arial" w:cs="Arial"/>
        </w:rPr>
        <w:t>by drug services also has substantial potential to help us reduce COVID-19 transmission</w:t>
      </w:r>
      <w:r w:rsidR="00F13DEA" w:rsidRPr="0014117D">
        <w:rPr>
          <w:rStyle w:val="FootnoteReference"/>
          <w:rFonts w:ascii="Arial" w:hAnsi="Arial" w:cs="Arial"/>
        </w:rPr>
        <w:footnoteReference w:id="3"/>
      </w:r>
      <w:r w:rsidR="00F13DEA" w:rsidRPr="0014117D">
        <w:rPr>
          <w:rFonts w:ascii="Arial" w:hAnsi="Arial" w:cs="Arial"/>
        </w:rPr>
        <w:t>.</w:t>
      </w:r>
    </w:p>
    <w:p w14:paraId="163D9844" w14:textId="77777777" w:rsidR="00CC7623" w:rsidRPr="0014117D" w:rsidRDefault="00CC7623" w:rsidP="003860A7">
      <w:pPr>
        <w:tabs>
          <w:tab w:val="left" w:pos="3030"/>
        </w:tabs>
        <w:spacing w:after="20"/>
        <w:rPr>
          <w:rFonts w:ascii="Arial" w:hAnsi="Arial" w:cs="Arial"/>
        </w:rPr>
      </w:pPr>
    </w:p>
    <w:p w14:paraId="32D06B5B" w14:textId="4DD6BBA5" w:rsidR="00CC7623" w:rsidRPr="0014117D" w:rsidRDefault="00CC7623" w:rsidP="00170130">
      <w:pPr>
        <w:tabs>
          <w:tab w:val="left" w:pos="3030"/>
        </w:tabs>
        <w:spacing w:after="20"/>
        <w:rPr>
          <w:rFonts w:ascii="Arial" w:hAnsi="Arial" w:cs="Arial"/>
        </w:rPr>
      </w:pPr>
      <w:r w:rsidRPr="0014117D">
        <w:rPr>
          <w:rFonts w:ascii="Arial" w:hAnsi="Arial" w:cs="Arial"/>
        </w:rPr>
        <w:t>The list of exempt items in Section 9a of the Misuse of Drugs Act 1971 is still not comprehensive, and the distribution of other items such as crack pipes</w:t>
      </w:r>
      <w:r w:rsidR="00427B53">
        <w:rPr>
          <w:rFonts w:ascii="Arial" w:hAnsi="Arial" w:cs="Arial"/>
        </w:rPr>
        <w:t>/safer inhalation kits</w:t>
      </w:r>
      <w:r w:rsidRPr="0014117D">
        <w:rPr>
          <w:rFonts w:ascii="Arial" w:hAnsi="Arial" w:cs="Arial"/>
        </w:rPr>
        <w:t xml:space="preserve"> (to encourage crack users into contact with services, and to encourage them not to inject crack and/or other substances) is not yet exempt in law. Supply of crack pipes</w:t>
      </w:r>
      <w:r w:rsidR="00427B53">
        <w:rPr>
          <w:rFonts w:ascii="Arial" w:hAnsi="Arial" w:cs="Arial"/>
        </w:rPr>
        <w:t>/safer inhalation kits</w:t>
      </w:r>
      <w:r w:rsidRPr="0014117D">
        <w:rPr>
          <w:rFonts w:ascii="Arial" w:hAnsi="Arial" w:cs="Arial"/>
        </w:rPr>
        <w:t xml:space="preserve"> by drug services has substantial potential to help us reduce drug related harm (particularly the harms related to crack injection), drug related litter, community concern, blood borne virus transmission; and COVID-19 transmission</w:t>
      </w:r>
      <w:r w:rsidR="0083524B" w:rsidRPr="0014117D">
        <w:rPr>
          <w:rFonts w:ascii="Arial" w:hAnsi="Arial" w:cs="Arial"/>
        </w:rPr>
        <w:t>.</w:t>
      </w:r>
      <w:r w:rsidR="00170130" w:rsidRPr="0014117D">
        <w:rPr>
          <w:rFonts w:ascii="Arial" w:hAnsi="Arial" w:cs="Arial"/>
        </w:rPr>
        <w:t xml:space="preserve"> There are high risks to individuals who chose to take controlled drugs, and intravenous drug use </w:t>
      </w:r>
      <w:r w:rsidR="00170130" w:rsidRPr="0014117D">
        <w:rPr>
          <w:rFonts w:ascii="Arial" w:hAnsi="Arial" w:cs="Arial"/>
        </w:rPr>
        <w:lastRenderedPageBreak/>
        <w:t>carries with it high risks of infection, overdose and of a spiral into decline which is often linked to more serious forms of criminality.</w:t>
      </w:r>
    </w:p>
    <w:p w14:paraId="15329462" w14:textId="77777777" w:rsidR="00170130" w:rsidRPr="0014117D" w:rsidRDefault="00170130" w:rsidP="00170130">
      <w:pPr>
        <w:tabs>
          <w:tab w:val="left" w:pos="3030"/>
        </w:tabs>
        <w:spacing w:after="20"/>
        <w:rPr>
          <w:rFonts w:ascii="Arial" w:hAnsi="Arial" w:cs="Arial"/>
        </w:rPr>
      </w:pPr>
    </w:p>
    <w:p w14:paraId="6B8CA8FF" w14:textId="4CE150D8" w:rsidR="00170130" w:rsidRPr="0014117D" w:rsidRDefault="00170130" w:rsidP="00B32956">
      <w:pPr>
        <w:tabs>
          <w:tab w:val="left" w:pos="3030"/>
        </w:tabs>
        <w:spacing w:after="20"/>
        <w:rPr>
          <w:rFonts w:ascii="Arial" w:hAnsi="Arial" w:cs="Arial"/>
        </w:rPr>
      </w:pPr>
      <w:r w:rsidRPr="0014117D">
        <w:rPr>
          <w:rFonts w:ascii="Arial" w:hAnsi="Arial" w:cs="Arial"/>
        </w:rPr>
        <w:t xml:space="preserve">We understand that </w:t>
      </w:r>
      <w:r w:rsidRPr="0014117D">
        <w:rPr>
          <w:rFonts w:ascii="Arial" w:hAnsi="Arial" w:cs="Arial"/>
          <w:highlight w:val="yellow"/>
        </w:rPr>
        <w:t>POLICE FORCE</w:t>
      </w:r>
      <w:r w:rsidRPr="0014117D">
        <w:rPr>
          <w:rFonts w:ascii="Arial" w:hAnsi="Arial" w:cs="Arial"/>
        </w:rPr>
        <w:t xml:space="preserve"> cannot condone the illegal use of controlled substances, but we hope that you are able to support community initiatives</w:t>
      </w:r>
      <w:r w:rsidR="00702BBE" w:rsidRPr="0014117D">
        <w:rPr>
          <w:rFonts w:ascii="Arial" w:hAnsi="Arial" w:cs="Arial"/>
        </w:rPr>
        <w:t xml:space="preserve">, delivered by partner agencies which are intended to reduce the harm caused by illegal drug use. We request that </w:t>
      </w:r>
      <w:r w:rsidR="00702BBE" w:rsidRPr="0014117D">
        <w:rPr>
          <w:rFonts w:ascii="Arial" w:hAnsi="Arial" w:cs="Arial"/>
          <w:highlight w:val="yellow"/>
        </w:rPr>
        <w:t xml:space="preserve">POLICE </w:t>
      </w:r>
      <w:r w:rsidR="006D7823" w:rsidRPr="0014117D">
        <w:rPr>
          <w:rFonts w:ascii="Arial" w:hAnsi="Arial" w:cs="Arial"/>
          <w:highlight w:val="yellow"/>
        </w:rPr>
        <w:t>FORCE</w:t>
      </w:r>
      <w:r w:rsidR="006D7823" w:rsidRPr="0014117D">
        <w:rPr>
          <w:rFonts w:ascii="Arial" w:hAnsi="Arial" w:cs="Arial"/>
        </w:rPr>
        <w:t>,</w:t>
      </w:r>
      <w:r w:rsidR="00B32956" w:rsidRPr="0014117D">
        <w:rPr>
          <w:rFonts w:ascii="Arial" w:hAnsi="Arial" w:cs="Arial"/>
        </w:rPr>
        <w:t xml:space="preserve"> not actively seek to enforce any legislation regarding the supply of crack pipes</w:t>
      </w:r>
      <w:r w:rsidR="002533E7">
        <w:rPr>
          <w:rFonts w:ascii="Arial" w:hAnsi="Arial" w:cs="Arial"/>
        </w:rPr>
        <w:t>/safer inhalation kits</w:t>
      </w:r>
      <w:r w:rsidR="00B32956" w:rsidRPr="0014117D">
        <w:rPr>
          <w:rFonts w:ascii="Arial" w:hAnsi="Arial" w:cs="Arial"/>
        </w:rPr>
        <w:t xml:space="preserve"> to people as part of structured drug treatment. We</w:t>
      </w:r>
      <w:r w:rsidR="00ED0C19" w:rsidRPr="0014117D">
        <w:rPr>
          <w:rFonts w:ascii="Arial" w:hAnsi="Arial" w:cs="Arial"/>
        </w:rPr>
        <w:t xml:space="preserve"> </w:t>
      </w:r>
      <w:r w:rsidR="00B32956" w:rsidRPr="0014117D">
        <w:rPr>
          <w:rFonts w:ascii="Arial" w:hAnsi="Arial" w:cs="Arial"/>
        </w:rPr>
        <w:t xml:space="preserve">understand and would undertake </w:t>
      </w:r>
      <w:r w:rsidR="00ED0C19" w:rsidRPr="0014117D">
        <w:rPr>
          <w:rFonts w:ascii="Arial" w:hAnsi="Arial" w:cs="Arial"/>
        </w:rPr>
        <w:t>measures to ensure that it can be</w:t>
      </w:r>
      <w:r w:rsidR="00B32956" w:rsidRPr="0014117D">
        <w:rPr>
          <w:rFonts w:ascii="Arial" w:hAnsi="Arial" w:cs="Arial"/>
        </w:rPr>
        <w:t xml:space="preserve"> satisfied in each instance that the </w:t>
      </w:r>
      <w:r w:rsidR="00ED0C19" w:rsidRPr="0014117D">
        <w:rPr>
          <w:rFonts w:ascii="Arial" w:hAnsi="Arial" w:cs="Arial"/>
        </w:rPr>
        <w:t>s</w:t>
      </w:r>
      <w:r w:rsidR="00B32956" w:rsidRPr="0014117D">
        <w:rPr>
          <w:rFonts w:ascii="Arial" w:hAnsi="Arial" w:cs="Arial"/>
        </w:rPr>
        <w:t>upply has been made in the best interests of that client in an attempt to engage them and reduce the harm caused by their intravenous drug use and that the supply is in the context of a drug treatment plan (within the meaning of Regulation 6A(4) of the Misuse of Drugs Regulations 2001)</w:t>
      </w:r>
      <w:r w:rsidR="00ED0C19" w:rsidRPr="0014117D">
        <w:rPr>
          <w:rFonts w:ascii="Arial" w:hAnsi="Arial" w:cs="Arial"/>
        </w:rPr>
        <w:t>.</w:t>
      </w:r>
    </w:p>
    <w:p w14:paraId="47E49F09" w14:textId="77777777" w:rsidR="00ED0C19" w:rsidRPr="0014117D" w:rsidRDefault="00ED0C19" w:rsidP="00B32956">
      <w:pPr>
        <w:tabs>
          <w:tab w:val="left" w:pos="3030"/>
        </w:tabs>
        <w:spacing w:after="20"/>
        <w:rPr>
          <w:rFonts w:ascii="Arial" w:hAnsi="Arial" w:cs="Arial"/>
        </w:rPr>
      </w:pPr>
    </w:p>
    <w:p w14:paraId="69C329EB" w14:textId="3380DE69" w:rsidR="00ED0C19" w:rsidRPr="0014117D" w:rsidRDefault="003B2C4D" w:rsidP="00B32956">
      <w:pPr>
        <w:tabs>
          <w:tab w:val="left" w:pos="3030"/>
        </w:tabs>
        <w:spacing w:after="20"/>
        <w:rPr>
          <w:rFonts w:ascii="Arial" w:hAnsi="Arial" w:cs="Arial"/>
        </w:rPr>
      </w:pPr>
      <w:r w:rsidRPr="0014117D">
        <w:rPr>
          <w:rFonts w:ascii="Arial" w:hAnsi="Arial" w:cs="Arial"/>
        </w:rPr>
        <w:t>Should you grant a letter of comfort, t</w:t>
      </w:r>
      <w:r w:rsidR="00DD79EB" w:rsidRPr="0014117D">
        <w:rPr>
          <w:rFonts w:ascii="Arial" w:hAnsi="Arial" w:cs="Arial"/>
        </w:rPr>
        <w:t>he provision of crack pipes</w:t>
      </w:r>
      <w:r w:rsidR="002533E7">
        <w:rPr>
          <w:rFonts w:ascii="Arial" w:hAnsi="Arial" w:cs="Arial"/>
        </w:rPr>
        <w:t>/safer inhalation kits</w:t>
      </w:r>
      <w:r w:rsidR="00DD79EB" w:rsidRPr="0014117D">
        <w:rPr>
          <w:rFonts w:ascii="Arial" w:hAnsi="Arial" w:cs="Arial"/>
        </w:rPr>
        <w:t xml:space="preserve"> will be undertaken by people employed/engaged by local authority commissioned services</w:t>
      </w:r>
      <w:r w:rsidR="00663370" w:rsidRPr="0014117D">
        <w:rPr>
          <w:rFonts w:ascii="Arial" w:hAnsi="Arial" w:cs="Arial"/>
        </w:rPr>
        <w:t xml:space="preserve">, who are contracted to undertake the lawful provision of drug treatment services. In this instance we would seek for staff off </w:t>
      </w:r>
      <w:r w:rsidR="00663370" w:rsidRPr="0014117D">
        <w:rPr>
          <w:rFonts w:ascii="Arial" w:hAnsi="Arial" w:cs="Arial"/>
          <w:highlight w:val="yellow"/>
        </w:rPr>
        <w:t>NAME SERVICE/SERVICES HERE</w:t>
      </w:r>
      <w:r w:rsidR="006D7823" w:rsidRPr="0014117D">
        <w:rPr>
          <w:rFonts w:ascii="Arial" w:hAnsi="Arial" w:cs="Arial"/>
        </w:rPr>
        <w:t xml:space="preserve"> to be able to provide crack pipes</w:t>
      </w:r>
      <w:r w:rsidR="002533E7">
        <w:rPr>
          <w:rFonts w:ascii="Arial" w:hAnsi="Arial" w:cs="Arial"/>
        </w:rPr>
        <w:t xml:space="preserve">/safer inhalation kits </w:t>
      </w:r>
      <w:r w:rsidR="006D7823" w:rsidRPr="0014117D">
        <w:rPr>
          <w:rFonts w:ascii="Arial" w:hAnsi="Arial" w:cs="Arial"/>
        </w:rPr>
        <w:t>as part of engagement in and provision of treatment services for people who use crack cocaine.</w:t>
      </w:r>
    </w:p>
    <w:p w14:paraId="64A2285C" w14:textId="77777777" w:rsidR="00E35F9B" w:rsidRPr="0014117D" w:rsidRDefault="00E35F9B" w:rsidP="00B32956">
      <w:pPr>
        <w:tabs>
          <w:tab w:val="left" w:pos="3030"/>
        </w:tabs>
        <w:spacing w:after="20"/>
        <w:rPr>
          <w:rFonts w:ascii="Arial" w:hAnsi="Arial" w:cs="Arial"/>
        </w:rPr>
      </w:pPr>
    </w:p>
    <w:p w14:paraId="7BCC86A1" w14:textId="346073AD" w:rsidR="00E35F9B" w:rsidRPr="0014117D" w:rsidRDefault="00E35F9B" w:rsidP="00B32956">
      <w:pPr>
        <w:tabs>
          <w:tab w:val="left" w:pos="3030"/>
        </w:tabs>
        <w:spacing w:after="20"/>
        <w:rPr>
          <w:rFonts w:ascii="Arial" w:hAnsi="Arial" w:cs="Arial"/>
        </w:rPr>
      </w:pPr>
      <w:r w:rsidRPr="0014117D">
        <w:rPr>
          <w:rFonts w:ascii="Arial" w:hAnsi="Arial" w:cs="Arial"/>
        </w:rPr>
        <w:t>Finally, we would like to state that</w:t>
      </w:r>
      <w:r w:rsidR="004E56EA" w:rsidRPr="0014117D">
        <w:rPr>
          <w:rFonts w:ascii="Arial" w:hAnsi="Arial" w:cs="Arial"/>
        </w:rPr>
        <w:t>:</w:t>
      </w:r>
    </w:p>
    <w:p w14:paraId="1086FBE7" w14:textId="77777777" w:rsidR="004E56EA" w:rsidRPr="0014117D" w:rsidRDefault="004E56EA" w:rsidP="00B32956">
      <w:pPr>
        <w:tabs>
          <w:tab w:val="left" w:pos="3030"/>
        </w:tabs>
        <w:spacing w:after="20"/>
        <w:rPr>
          <w:rFonts w:ascii="Arial" w:hAnsi="Arial" w:cs="Arial"/>
        </w:rPr>
      </w:pPr>
    </w:p>
    <w:p w14:paraId="5866238B" w14:textId="4D2C567C" w:rsidR="004E56EA" w:rsidRPr="0014117D" w:rsidRDefault="00AD614B" w:rsidP="004E56EA">
      <w:pPr>
        <w:pStyle w:val="ListParagraph"/>
        <w:numPr>
          <w:ilvl w:val="0"/>
          <w:numId w:val="19"/>
        </w:numPr>
        <w:tabs>
          <w:tab w:val="left" w:pos="3030"/>
        </w:tabs>
        <w:spacing w:after="20"/>
        <w:rPr>
          <w:rFonts w:ascii="Arial" w:hAnsi="Arial" w:cs="Arial"/>
        </w:rPr>
      </w:pPr>
      <w:r w:rsidRPr="0014117D">
        <w:rPr>
          <w:rFonts w:ascii="Arial" w:hAnsi="Arial" w:cs="Arial"/>
        </w:rPr>
        <w:t>We are aware that t</w:t>
      </w:r>
      <w:r w:rsidR="004E56EA" w:rsidRPr="0014117D">
        <w:rPr>
          <w:rFonts w:ascii="Arial" w:hAnsi="Arial" w:cs="Arial"/>
        </w:rPr>
        <w:t>he provision of pipe kits remains a breach of section 9a of the Misuse of Drugs Act.</w:t>
      </w:r>
    </w:p>
    <w:p w14:paraId="616E6E2D" w14:textId="7CDFAAE3" w:rsidR="004E56EA" w:rsidRPr="0014117D" w:rsidRDefault="004E56EA" w:rsidP="004E56EA">
      <w:pPr>
        <w:pStyle w:val="ListParagraph"/>
        <w:numPr>
          <w:ilvl w:val="0"/>
          <w:numId w:val="19"/>
        </w:numPr>
        <w:tabs>
          <w:tab w:val="left" w:pos="3030"/>
        </w:tabs>
        <w:spacing w:after="20"/>
        <w:rPr>
          <w:rFonts w:ascii="Arial" w:hAnsi="Arial" w:cs="Arial"/>
        </w:rPr>
      </w:pPr>
      <w:r w:rsidRPr="0014117D">
        <w:rPr>
          <w:rFonts w:ascii="Arial" w:hAnsi="Arial" w:cs="Arial"/>
          <w:highlight w:val="yellow"/>
        </w:rPr>
        <w:t>POLICE FORCE</w:t>
      </w:r>
      <w:r w:rsidRPr="0014117D">
        <w:rPr>
          <w:rFonts w:ascii="Arial" w:hAnsi="Arial" w:cs="Arial"/>
        </w:rPr>
        <w:t xml:space="preserve"> cannot condone the illegal use of controlled substances.</w:t>
      </w:r>
    </w:p>
    <w:p w14:paraId="13540292" w14:textId="77777777" w:rsidR="00535C2C" w:rsidRPr="0014117D" w:rsidRDefault="004E56EA" w:rsidP="004E56EA">
      <w:pPr>
        <w:pStyle w:val="ListParagraph"/>
        <w:numPr>
          <w:ilvl w:val="0"/>
          <w:numId w:val="19"/>
        </w:numPr>
        <w:tabs>
          <w:tab w:val="left" w:pos="3030"/>
        </w:tabs>
        <w:spacing w:after="20"/>
        <w:rPr>
          <w:rFonts w:ascii="Arial" w:hAnsi="Arial" w:cs="Arial"/>
        </w:rPr>
      </w:pPr>
      <w:r w:rsidRPr="0014117D">
        <w:rPr>
          <w:rFonts w:ascii="Arial" w:hAnsi="Arial" w:cs="Arial"/>
        </w:rPr>
        <w:t xml:space="preserve">For the duration of this agreement breaches of section 9a of the Misuse of Drugs Act by drug services for the purpose of providing pipe kits will not be investigated by </w:t>
      </w:r>
      <w:r w:rsidRPr="0014117D">
        <w:rPr>
          <w:rFonts w:ascii="Arial" w:hAnsi="Arial" w:cs="Arial"/>
          <w:highlight w:val="yellow"/>
        </w:rPr>
        <w:t>POLICE FORCE</w:t>
      </w:r>
      <w:r w:rsidRPr="0014117D">
        <w:rPr>
          <w:rFonts w:ascii="Arial" w:hAnsi="Arial" w:cs="Arial"/>
        </w:rPr>
        <w:t xml:space="preserve"> and as a result will not be brought to the attention of the CPS.</w:t>
      </w:r>
    </w:p>
    <w:p w14:paraId="75E739F8" w14:textId="7CA56349" w:rsidR="00100B3A" w:rsidRPr="0014117D" w:rsidRDefault="00535C2C" w:rsidP="004E56EA">
      <w:pPr>
        <w:pStyle w:val="ListParagraph"/>
        <w:numPr>
          <w:ilvl w:val="0"/>
          <w:numId w:val="19"/>
        </w:numPr>
        <w:tabs>
          <w:tab w:val="left" w:pos="3030"/>
        </w:tabs>
        <w:spacing w:after="20"/>
        <w:rPr>
          <w:rFonts w:ascii="Arial" w:hAnsi="Arial" w:cs="Arial"/>
        </w:rPr>
      </w:pPr>
      <w:r w:rsidRPr="0014117D">
        <w:rPr>
          <w:rFonts w:ascii="Arial" w:hAnsi="Arial" w:cs="Arial"/>
        </w:rPr>
        <w:t>We w</w:t>
      </w:r>
      <w:r w:rsidR="004B7431" w:rsidRPr="0014117D">
        <w:rPr>
          <w:rFonts w:ascii="Arial" w:hAnsi="Arial" w:cs="Arial"/>
        </w:rPr>
        <w:t>ill</w:t>
      </w:r>
      <w:r w:rsidRPr="0014117D">
        <w:rPr>
          <w:rFonts w:ascii="Arial" w:hAnsi="Arial" w:cs="Arial"/>
        </w:rPr>
        <w:t xml:space="preserve"> seek to implement</w:t>
      </w:r>
      <w:r w:rsidR="004E56EA" w:rsidRPr="0014117D">
        <w:rPr>
          <w:rFonts w:ascii="Arial" w:hAnsi="Arial" w:cs="Arial"/>
        </w:rPr>
        <w:t xml:space="preserve"> a specific performance management framework to ensure that the provision of pipe kits is appropriately monitored and is fit for purpose.</w:t>
      </w:r>
    </w:p>
    <w:p w14:paraId="7A165CCA" w14:textId="0BCA773A" w:rsidR="004E56EA" w:rsidRPr="0014117D" w:rsidRDefault="00100B3A" w:rsidP="004E56EA">
      <w:pPr>
        <w:pStyle w:val="ListParagraph"/>
        <w:numPr>
          <w:ilvl w:val="0"/>
          <w:numId w:val="19"/>
        </w:numPr>
        <w:tabs>
          <w:tab w:val="left" w:pos="3030"/>
        </w:tabs>
        <w:spacing w:after="20"/>
        <w:rPr>
          <w:rFonts w:ascii="Arial" w:hAnsi="Arial" w:cs="Arial"/>
        </w:rPr>
      </w:pPr>
      <w:r w:rsidRPr="0014117D">
        <w:rPr>
          <w:rFonts w:ascii="Arial" w:hAnsi="Arial" w:cs="Arial"/>
          <w:highlight w:val="yellow"/>
        </w:rPr>
        <w:t>POLICE FORCE</w:t>
      </w:r>
      <w:r w:rsidRPr="0014117D">
        <w:rPr>
          <w:rFonts w:ascii="Arial" w:hAnsi="Arial" w:cs="Arial"/>
        </w:rPr>
        <w:t xml:space="preserve"> may</w:t>
      </w:r>
      <w:r w:rsidR="004E56EA" w:rsidRPr="0014117D">
        <w:rPr>
          <w:rFonts w:ascii="Arial" w:hAnsi="Arial" w:cs="Arial"/>
        </w:rPr>
        <w:t xml:space="preserve"> reserve the right to revoke this agreement unilaterally with immediate effect </w:t>
      </w:r>
      <w:r w:rsidRPr="0014117D">
        <w:rPr>
          <w:rFonts w:ascii="Arial" w:hAnsi="Arial" w:cs="Arial"/>
        </w:rPr>
        <w:t>but would</w:t>
      </w:r>
      <w:r w:rsidR="004E56EA" w:rsidRPr="0014117D">
        <w:rPr>
          <w:rFonts w:ascii="Arial" w:hAnsi="Arial" w:cs="Arial"/>
        </w:rPr>
        <w:t xml:space="preserve"> inform </w:t>
      </w:r>
      <w:r w:rsidRPr="0014117D">
        <w:rPr>
          <w:rFonts w:ascii="Arial" w:hAnsi="Arial" w:cs="Arial"/>
        </w:rPr>
        <w:t>us</w:t>
      </w:r>
      <w:r w:rsidR="004E56EA" w:rsidRPr="0014117D">
        <w:rPr>
          <w:rFonts w:ascii="Arial" w:hAnsi="Arial" w:cs="Arial"/>
        </w:rPr>
        <w:t xml:space="preserve"> in advance of any decision.</w:t>
      </w:r>
    </w:p>
    <w:p w14:paraId="65D368ED" w14:textId="326DABB1" w:rsidR="004E56EA" w:rsidRPr="0014117D" w:rsidRDefault="004E56EA" w:rsidP="004E56EA">
      <w:pPr>
        <w:pStyle w:val="ListParagraph"/>
        <w:numPr>
          <w:ilvl w:val="0"/>
          <w:numId w:val="19"/>
        </w:numPr>
        <w:tabs>
          <w:tab w:val="left" w:pos="3030"/>
        </w:tabs>
        <w:spacing w:after="20"/>
        <w:rPr>
          <w:rFonts w:ascii="Arial" w:hAnsi="Arial" w:cs="Arial"/>
        </w:rPr>
      </w:pPr>
      <w:r w:rsidRPr="0014117D">
        <w:rPr>
          <w:rFonts w:ascii="Arial" w:hAnsi="Arial" w:cs="Arial"/>
        </w:rPr>
        <w:t xml:space="preserve">Continuation to provide pipe kits to service users after termination of this agreement may expose </w:t>
      </w:r>
      <w:r w:rsidR="00AD614B" w:rsidRPr="0014117D">
        <w:rPr>
          <w:rFonts w:ascii="Arial" w:hAnsi="Arial" w:cs="Arial"/>
        </w:rPr>
        <w:t>services</w:t>
      </w:r>
      <w:r w:rsidRPr="0014117D">
        <w:rPr>
          <w:rFonts w:ascii="Arial" w:hAnsi="Arial" w:cs="Arial"/>
        </w:rPr>
        <w:t xml:space="preserve"> to prosecution for being in breach of section 9a of the Misuse of Drugs Act.</w:t>
      </w:r>
    </w:p>
    <w:p w14:paraId="56D9859A" w14:textId="77777777" w:rsidR="004B7431" w:rsidRPr="0014117D" w:rsidRDefault="004B7431" w:rsidP="004B7431">
      <w:pPr>
        <w:tabs>
          <w:tab w:val="left" w:pos="3030"/>
        </w:tabs>
        <w:spacing w:after="20"/>
        <w:rPr>
          <w:rFonts w:ascii="Arial" w:hAnsi="Arial" w:cs="Arial"/>
        </w:rPr>
      </w:pPr>
    </w:p>
    <w:p w14:paraId="25B0040E" w14:textId="4719BBDF" w:rsidR="004B7431" w:rsidRPr="0014117D" w:rsidRDefault="004B7431" w:rsidP="004B7431">
      <w:pPr>
        <w:tabs>
          <w:tab w:val="left" w:pos="3030"/>
        </w:tabs>
        <w:spacing w:after="20"/>
        <w:rPr>
          <w:rFonts w:ascii="Arial" w:hAnsi="Arial" w:cs="Arial"/>
        </w:rPr>
      </w:pPr>
      <w:r w:rsidRPr="0014117D">
        <w:rPr>
          <w:rFonts w:ascii="Arial" w:hAnsi="Arial" w:cs="Arial"/>
        </w:rPr>
        <w:t xml:space="preserve">Thank you </w:t>
      </w:r>
      <w:r w:rsidR="00B00D8D" w:rsidRPr="0014117D">
        <w:rPr>
          <w:rFonts w:ascii="Arial" w:hAnsi="Arial" w:cs="Arial"/>
        </w:rPr>
        <w:t>for</w:t>
      </w:r>
      <w:r w:rsidR="00711082" w:rsidRPr="0014117D">
        <w:rPr>
          <w:rFonts w:ascii="Arial" w:hAnsi="Arial" w:cs="Arial"/>
        </w:rPr>
        <w:t xml:space="preserve"> your time and consideration regarding this request. Please do not hesitate to contact me should you wish to engage in discussion prior to any decision being made.</w:t>
      </w:r>
    </w:p>
    <w:p w14:paraId="332B6347" w14:textId="77777777" w:rsidR="00711082" w:rsidRPr="0014117D" w:rsidRDefault="00711082" w:rsidP="004B7431">
      <w:pPr>
        <w:tabs>
          <w:tab w:val="left" w:pos="3030"/>
        </w:tabs>
        <w:spacing w:after="20"/>
        <w:rPr>
          <w:rFonts w:ascii="Arial" w:hAnsi="Arial" w:cs="Arial"/>
        </w:rPr>
      </w:pPr>
    </w:p>
    <w:p w14:paraId="00EA81F6" w14:textId="252183CC" w:rsidR="00711082" w:rsidRPr="0014117D" w:rsidRDefault="00711082" w:rsidP="004B7431">
      <w:pPr>
        <w:tabs>
          <w:tab w:val="left" w:pos="3030"/>
        </w:tabs>
        <w:spacing w:after="20"/>
        <w:rPr>
          <w:rFonts w:ascii="Arial" w:hAnsi="Arial" w:cs="Arial"/>
        </w:rPr>
      </w:pPr>
      <w:r w:rsidRPr="0014117D">
        <w:rPr>
          <w:rFonts w:ascii="Arial" w:hAnsi="Arial" w:cs="Arial"/>
        </w:rPr>
        <w:t>Yours faithfully,</w:t>
      </w:r>
    </w:p>
    <w:p w14:paraId="0848765B" w14:textId="77777777" w:rsidR="00711082" w:rsidRPr="0014117D" w:rsidRDefault="00711082" w:rsidP="004B7431">
      <w:pPr>
        <w:tabs>
          <w:tab w:val="left" w:pos="3030"/>
        </w:tabs>
        <w:spacing w:after="20"/>
        <w:rPr>
          <w:rFonts w:ascii="Arial" w:hAnsi="Arial" w:cs="Arial"/>
        </w:rPr>
      </w:pPr>
    </w:p>
    <w:p w14:paraId="69421D5E" w14:textId="77777777" w:rsidR="00711082" w:rsidRPr="0014117D" w:rsidRDefault="00711082" w:rsidP="004B7431">
      <w:pPr>
        <w:tabs>
          <w:tab w:val="left" w:pos="3030"/>
        </w:tabs>
        <w:spacing w:after="20"/>
        <w:rPr>
          <w:rFonts w:ascii="Arial" w:hAnsi="Arial" w:cs="Arial"/>
        </w:rPr>
      </w:pPr>
    </w:p>
    <w:p w14:paraId="0CC6FC91" w14:textId="77777777" w:rsidR="00711082" w:rsidRPr="0014117D" w:rsidRDefault="00711082" w:rsidP="004B7431">
      <w:pPr>
        <w:tabs>
          <w:tab w:val="left" w:pos="3030"/>
        </w:tabs>
        <w:spacing w:after="20"/>
        <w:rPr>
          <w:rFonts w:ascii="Arial" w:hAnsi="Arial" w:cs="Arial"/>
        </w:rPr>
      </w:pPr>
    </w:p>
    <w:p w14:paraId="066D04A3" w14:textId="27A7698D" w:rsidR="00711082" w:rsidRPr="0014117D" w:rsidRDefault="00711082" w:rsidP="004B7431">
      <w:pPr>
        <w:tabs>
          <w:tab w:val="left" w:pos="3030"/>
        </w:tabs>
        <w:spacing w:after="20"/>
        <w:rPr>
          <w:rFonts w:ascii="Arial" w:hAnsi="Arial" w:cs="Arial"/>
          <w:b/>
          <w:bCs/>
        </w:rPr>
      </w:pPr>
      <w:r w:rsidRPr="0014117D">
        <w:rPr>
          <w:rFonts w:ascii="Arial" w:hAnsi="Arial" w:cs="Arial"/>
          <w:b/>
          <w:bCs/>
        </w:rPr>
        <w:t>Name</w:t>
      </w:r>
    </w:p>
    <w:p w14:paraId="0E2236BA" w14:textId="79236F51" w:rsidR="00711082" w:rsidRPr="0014117D" w:rsidRDefault="00711082" w:rsidP="004B7431">
      <w:pPr>
        <w:tabs>
          <w:tab w:val="left" w:pos="3030"/>
        </w:tabs>
        <w:spacing w:after="20"/>
        <w:rPr>
          <w:rFonts w:ascii="Arial" w:hAnsi="Arial" w:cs="Arial"/>
          <w:b/>
          <w:bCs/>
        </w:rPr>
      </w:pPr>
      <w:r w:rsidRPr="0014117D">
        <w:rPr>
          <w:rFonts w:ascii="Arial" w:hAnsi="Arial" w:cs="Arial"/>
          <w:b/>
          <w:bCs/>
        </w:rPr>
        <w:t>Role</w:t>
      </w:r>
    </w:p>
    <w:sectPr w:rsidR="00711082" w:rsidRPr="0014117D" w:rsidSect="00946521">
      <w:headerReference w:type="default" r:id="rId11"/>
      <w:footerReference w:type="default" r:id="rId12"/>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DA9A" w14:textId="77777777" w:rsidR="00AC4917" w:rsidRDefault="00AC4917" w:rsidP="00D94D67">
      <w:pPr>
        <w:spacing w:after="0" w:line="240" w:lineRule="auto"/>
      </w:pPr>
      <w:r>
        <w:separator/>
      </w:r>
    </w:p>
  </w:endnote>
  <w:endnote w:type="continuationSeparator" w:id="0">
    <w:p w14:paraId="52A90660" w14:textId="77777777" w:rsidR="00AC4917" w:rsidRDefault="00AC4917" w:rsidP="00D9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E8A5" w14:textId="77777777" w:rsidR="006D7823" w:rsidRDefault="006D7823" w:rsidP="00F620DC">
    <w:pPr>
      <w:pStyle w:val="Footer"/>
    </w:pPr>
  </w:p>
  <w:p w14:paraId="7766465B" w14:textId="27D94B92" w:rsidR="007A4EFD" w:rsidRDefault="0035141C" w:rsidP="00F620DC">
    <w:pPr>
      <w:pStyle w:val="Footer"/>
    </w:pPr>
    <w:r>
      <w:t>E</w:t>
    </w:r>
    <w:r w:rsidR="007A4EFD">
      <w:t>nglish Substance Use Commissioners Group</w:t>
    </w:r>
  </w:p>
  <w:p w14:paraId="381CC5C7" w14:textId="4DD26D38" w:rsidR="00324104" w:rsidRPr="006D7823" w:rsidRDefault="004118EE" w:rsidP="00F620DC">
    <w:pPr>
      <w:pStyle w:val="Footer"/>
      <w:rPr>
        <w:highlight w:val="yellow"/>
      </w:rPr>
    </w:pPr>
    <w:r w:rsidRPr="006D7823">
      <w:rPr>
        <w:highlight w:val="yellow"/>
      </w:rPr>
      <w:t>LOCAL AUTHORITY NAME</w:t>
    </w:r>
    <w:r w:rsidR="00D94D67" w:rsidRPr="006D7823">
      <w:rPr>
        <w:highlight w:val="yellow"/>
      </w:rPr>
      <w:t xml:space="preserve"> </w:t>
    </w:r>
  </w:p>
  <w:p w14:paraId="42DC4034" w14:textId="08A711FD" w:rsidR="00F620DC" w:rsidRDefault="004118EE" w:rsidP="00F620DC">
    <w:pPr>
      <w:pStyle w:val="Footer"/>
    </w:pPr>
    <w:r w:rsidRPr="006D7823">
      <w:rPr>
        <w:highlight w:val="yellow"/>
      </w:rPr>
      <w:t>DATE</w:t>
    </w:r>
    <w:r w:rsidR="0035141C">
      <w:tab/>
    </w:r>
    <w:r w:rsidR="0035141C">
      <w:tab/>
    </w:r>
    <w:sdt>
      <w:sdtPr>
        <w:id w:val="1562719693"/>
        <w:docPartObj>
          <w:docPartGallery w:val="Page Numbers (Bottom of Page)"/>
          <w:docPartUnique/>
        </w:docPartObj>
      </w:sdtPr>
      <w:sdtEndPr>
        <w:rPr>
          <w:noProof/>
        </w:rPr>
      </w:sdtEndPr>
      <w:sdtContent>
        <w:r w:rsidR="0035141C" w:rsidRPr="2F37E315">
          <w:rPr>
            <w:noProof/>
          </w:rPr>
          <w:fldChar w:fldCharType="begin"/>
        </w:r>
        <w:r w:rsidR="0035141C">
          <w:instrText xml:space="preserve"> PAGE   \* MERGEFORMAT </w:instrText>
        </w:r>
        <w:r w:rsidR="0035141C" w:rsidRPr="2F37E315">
          <w:fldChar w:fldCharType="separate"/>
        </w:r>
        <w:r w:rsidR="0035141C" w:rsidRPr="2F37E315">
          <w:rPr>
            <w:noProof/>
          </w:rPr>
          <w:t>2</w:t>
        </w:r>
        <w:r w:rsidR="0035141C" w:rsidRPr="2F37E31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F28A" w14:textId="77777777" w:rsidR="00AC4917" w:rsidRDefault="00AC4917" w:rsidP="00D94D67">
      <w:pPr>
        <w:spacing w:after="0" w:line="240" w:lineRule="auto"/>
      </w:pPr>
      <w:r>
        <w:separator/>
      </w:r>
    </w:p>
  </w:footnote>
  <w:footnote w:type="continuationSeparator" w:id="0">
    <w:p w14:paraId="76DEDB27" w14:textId="77777777" w:rsidR="00AC4917" w:rsidRDefault="00AC4917" w:rsidP="00D94D67">
      <w:pPr>
        <w:spacing w:after="0" w:line="240" w:lineRule="auto"/>
      </w:pPr>
      <w:r>
        <w:continuationSeparator/>
      </w:r>
    </w:p>
  </w:footnote>
  <w:footnote w:id="1">
    <w:p w14:paraId="5C420F7C" w14:textId="471F05DC" w:rsidR="00B55D48" w:rsidRDefault="00B55D48">
      <w:pPr>
        <w:pStyle w:val="FootnoteText"/>
      </w:pPr>
      <w:r>
        <w:rPr>
          <w:rStyle w:val="FootnoteReference"/>
        </w:rPr>
        <w:footnoteRef/>
      </w:r>
      <w:r>
        <w:t xml:space="preserve"> </w:t>
      </w:r>
      <w:hyperlink r:id="rId1" w:history="1">
        <w:r>
          <w:rPr>
            <w:rStyle w:val="Hyperlink"/>
          </w:rPr>
          <w:t>Effectiveness of needle and syringe Programmes in people who inject drugs – An overview of systematic reviews | BMC Public Health | Full Text (biomedcentral.com)</w:t>
        </w:r>
      </w:hyperlink>
    </w:p>
  </w:footnote>
  <w:footnote w:id="2">
    <w:p w14:paraId="2F4AE355" w14:textId="1A32552E" w:rsidR="002C1F9E" w:rsidRDefault="002C1F9E">
      <w:pPr>
        <w:pStyle w:val="FootnoteText"/>
      </w:pPr>
      <w:r>
        <w:rPr>
          <w:rStyle w:val="FootnoteReference"/>
        </w:rPr>
        <w:footnoteRef/>
      </w:r>
      <w:r>
        <w:t xml:space="preserve"> </w:t>
      </w:r>
      <w:hyperlink r:id="rId2" w:history="1">
        <w:r>
          <w:rPr>
            <w:rStyle w:val="Hyperlink"/>
          </w:rPr>
          <w:t>The SIPP (Safe Inhalation Pipe Provision) study | LSHTM</w:t>
        </w:r>
      </w:hyperlink>
    </w:p>
  </w:footnote>
  <w:footnote w:id="3">
    <w:p w14:paraId="38C7C3C4" w14:textId="21B49C0E" w:rsidR="00F13DEA" w:rsidRDefault="00F13DEA">
      <w:pPr>
        <w:pStyle w:val="FootnoteText"/>
      </w:pPr>
      <w:r>
        <w:rPr>
          <w:rStyle w:val="FootnoteReference"/>
        </w:rPr>
        <w:footnoteRef/>
      </w:r>
      <w:r>
        <w:t xml:space="preserve"> </w:t>
      </w:r>
      <w:hyperlink r:id="rId3" w:history="1">
        <w:r w:rsidR="004A4801">
          <w:rPr>
            <w:rStyle w:val="Hyperlink"/>
          </w:rPr>
          <w:t>An urgent impetus for action: safe inhalation interventions to reduce COVID-19 transmission and fatality risk among people who smoke crack cocaine in the United Kingdom - PMC (nih.gov)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27B6" w14:textId="77777777" w:rsidR="0028129B" w:rsidRDefault="002533E7" w:rsidP="003126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07D"/>
    <w:multiLevelType w:val="hybridMultilevel"/>
    <w:tmpl w:val="E35A7BE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5B0772"/>
    <w:multiLevelType w:val="hybridMultilevel"/>
    <w:tmpl w:val="F1923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B943B5"/>
    <w:multiLevelType w:val="hybridMultilevel"/>
    <w:tmpl w:val="87625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5B520C"/>
    <w:multiLevelType w:val="hybridMultilevel"/>
    <w:tmpl w:val="A094F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A4203"/>
    <w:multiLevelType w:val="hybridMultilevel"/>
    <w:tmpl w:val="639E355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A81E3A"/>
    <w:multiLevelType w:val="hybridMultilevel"/>
    <w:tmpl w:val="851A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37366"/>
    <w:multiLevelType w:val="hybridMultilevel"/>
    <w:tmpl w:val="A7980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DE780A"/>
    <w:multiLevelType w:val="hybridMultilevel"/>
    <w:tmpl w:val="B3463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E96B09"/>
    <w:multiLevelType w:val="hybridMultilevel"/>
    <w:tmpl w:val="303A8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2831FC"/>
    <w:multiLevelType w:val="hybridMultilevel"/>
    <w:tmpl w:val="4022EB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4EE063D"/>
    <w:multiLevelType w:val="hybridMultilevel"/>
    <w:tmpl w:val="D4E61B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1C3FCF"/>
    <w:multiLevelType w:val="hybridMultilevel"/>
    <w:tmpl w:val="4022EB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3125E2"/>
    <w:multiLevelType w:val="hybridMultilevel"/>
    <w:tmpl w:val="16B6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35B07"/>
    <w:multiLevelType w:val="hybridMultilevel"/>
    <w:tmpl w:val="E8B4C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F16DB3"/>
    <w:multiLevelType w:val="hybridMultilevel"/>
    <w:tmpl w:val="68261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296CA7"/>
    <w:multiLevelType w:val="hybridMultilevel"/>
    <w:tmpl w:val="39829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95F9A"/>
    <w:multiLevelType w:val="hybridMultilevel"/>
    <w:tmpl w:val="CC06B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436252"/>
    <w:multiLevelType w:val="hybridMultilevel"/>
    <w:tmpl w:val="69823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B27F7"/>
    <w:multiLevelType w:val="hybridMultilevel"/>
    <w:tmpl w:val="D764D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076859">
    <w:abstractNumId w:val="4"/>
  </w:num>
  <w:num w:numId="2" w16cid:durableId="1203521441">
    <w:abstractNumId w:val="3"/>
  </w:num>
  <w:num w:numId="3" w16cid:durableId="905729376">
    <w:abstractNumId w:val="10"/>
  </w:num>
  <w:num w:numId="4" w16cid:durableId="332685853">
    <w:abstractNumId w:val="0"/>
  </w:num>
  <w:num w:numId="5" w16cid:durableId="946350886">
    <w:abstractNumId w:val="18"/>
  </w:num>
  <w:num w:numId="6" w16cid:durableId="1502236390">
    <w:abstractNumId w:val="1"/>
  </w:num>
  <w:num w:numId="7" w16cid:durableId="1060786944">
    <w:abstractNumId w:val="16"/>
  </w:num>
  <w:num w:numId="8" w16cid:durableId="1007099014">
    <w:abstractNumId w:val="5"/>
  </w:num>
  <w:num w:numId="9" w16cid:durableId="758865822">
    <w:abstractNumId w:val="17"/>
  </w:num>
  <w:num w:numId="10" w16cid:durableId="1203976585">
    <w:abstractNumId w:val="15"/>
  </w:num>
  <w:num w:numId="11" w16cid:durableId="1509978667">
    <w:abstractNumId w:val="7"/>
  </w:num>
  <w:num w:numId="12" w16cid:durableId="602998632">
    <w:abstractNumId w:val="13"/>
  </w:num>
  <w:num w:numId="13" w16cid:durableId="1214728881">
    <w:abstractNumId w:val="6"/>
  </w:num>
  <w:num w:numId="14" w16cid:durableId="15469162">
    <w:abstractNumId w:val="8"/>
  </w:num>
  <w:num w:numId="15" w16cid:durableId="1108742897">
    <w:abstractNumId w:val="11"/>
  </w:num>
  <w:num w:numId="16" w16cid:durableId="1196189981">
    <w:abstractNumId w:val="9"/>
  </w:num>
  <w:num w:numId="17" w16cid:durableId="1367488582">
    <w:abstractNumId w:val="2"/>
  </w:num>
  <w:num w:numId="18" w16cid:durableId="516650527">
    <w:abstractNumId w:val="14"/>
  </w:num>
  <w:num w:numId="19" w16cid:durableId="654185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6D"/>
    <w:rsid w:val="00043684"/>
    <w:rsid w:val="000579E0"/>
    <w:rsid w:val="00077902"/>
    <w:rsid w:val="00080723"/>
    <w:rsid w:val="000854C8"/>
    <w:rsid w:val="000C0B39"/>
    <w:rsid w:val="000D53A3"/>
    <w:rsid w:val="00100B3A"/>
    <w:rsid w:val="0014117D"/>
    <w:rsid w:val="00170130"/>
    <w:rsid w:val="00174A94"/>
    <w:rsid w:val="00177D97"/>
    <w:rsid w:val="001C158E"/>
    <w:rsid w:val="0020642F"/>
    <w:rsid w:val="0021704F"/>
    <w:rsid w:val="0022152E"/>
    <w:rsid w:val="002533E7"/>
    <w:rsid w:val="002C1EBC"/>
    <w:rsid w:val="002C1F9E"/>
    <w:rsid w:val="002E65D6"/>
    <w:rsid w:val="0030770E"/>
    <w:rsid w:val="0035141C"/>
    <w:rsid w:val="003662C9"/>
    <w:rsid w:val="003860A7"/>
    <w:rsid w:val="003A62A5"/>
    <w:rsid w:val="003B2C4D"/>
    <w:rsid w:val="003E663C"/>
    <w:rsid w:val="003F54DD"/>
    <w:rsid w:val="003F761A"/>
    <w:rsid w:val="004118EE"/>
    <w:rsid w:val="00420EC1"/>
    <w:rsid w:val="00427B53"/>
    <w:rsid w:val="00461824"/>
    <w:rsid w:val="00467BB7"/>
    <w:rsid w:val="004908BB"/>
    <w:rsid w:val="004A4801"/>
    <w:rsid w:val="004B7431"/>
    <w:rsid w:val="004E56EA"/>
    <w:rsid w:val="00511784"/>
    <w:rsid w:val="00535C2C"/>
    <w:rsid w:val="0059339F"/>
    <w:rsid w:val="005B0393"/>
    <w:rsid w:val="005D6E12"/>
    <w:rsid w:val="00616293"/>
    <w:rsid w:val="00663370"/>
    <w:rsid w:val="00696306"/>
    <w:rsid w:val="006D7823"/>
    <w:rsid w:val="006D7D82"/>
    <w:rsid w:val="006F0F15"/>
    <w:rsid w:val="00702BBE"/>
    <w:rsid w:val="00711082"/>
    <w:rsid w:val="00775905"/>
    <w:rsid w:val="00794F63"/>
    <w:rsid w:val="007A4EFD"/>
    <w:rsid w:val="007C0D24"/>
    <w:rsid w:val="007E0F3D"/>
    <w:rsid w:val="007F2BE8"/>
    <w:rsid w:val="00831CED"/>
    <w:rsid w:val="0083524B"/>
    <w:rsid w:val="00840E3E"/>
    <w:rsid w:val="00853DA3"/>
    <w:rsid w:val="008B42C9"/>
    <w:rsid w:val="008C0742"/>
    <w:rsid w:val="009225E2"/>
    <w:rsid w:val="00940D5F"/>
    <w:rsid w:val="00955872"/>
    <w:rsid w:val="00965344"/>
    <w:rsid w:val="0097139A"/>
    <w:rsid w:val="009A5995"/>
    <w:rsid w:val="009F1AE5"/>
    <w:rsid w:val="009F69D5"/>
    <w:rsid w:val="00A72FA1"/>
    <w:rsid w:val="00A8683E"/>
    <w:rsid w:val="00AC4917"/>
    <w:rsid w:val="00AD0B52"/>
    <w:rsid w:val="00AD614B"/>
    <w:rsid w:val="00B00D8D"/>
    <w:rsid w:val="00B32956"/>
    <w:rsid w:val="00B55D48"/>
    <w:rsid w:val="00B607E7"/>
    <w:rsid w:val="00BA2842"/>
    <w:rsid w:val="00BD0677"/>
    <w:rsid w:val="00C23FC4"/>
    <w:rsid w:val="00C8006D"/>
    <w:rsid w:val="00C90564"/>
    <w:rsid w:val="00CA085D"/>
    <w:rsid w:val="00CC3FDF"/>
    <w:rsid w:val="00CC6CEC"/>
    <w:rsid w:val="00CC7623"/>
    <w:rsid w:val="00D51455"/>
    <w:rsid w:val="00D85DCD"/>
    <w:rsid w:val="00D94D67"/>
    <w:rsid w:val="00DD79EB"/>
    <w:rsid w:val="00E32EAA"/>
    <w:rsid w:val="00E35F9B"/>
    <w:rsid w:val="00E64280"/>
    <w:rsid w:val="00ED0C19"/>
    <w:rsid w:val="00ED3D37"/>
    <w:rsid w:val="00F133B1"/>
    <w:rsid w:val="00F13DEA"/>
    <w:rsid w:val="00F2743D"/>
    <w:rsid w:val="00F8117E"/>
    <w:rsid w:val="00FD5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36AA"/>
  <w15:chartTrackingRefBased/>
  <w15:docId w15:val="{0BAB5796-85F6-4ABE-AD6D-DEA42A04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6D"/>
    <w:rPr>
      <w:rFonts w:eastAsiaTheme="minorEastAsia"/>
    </w:rPr>
  </w:style>
  <w:style w:type="paragraph" w:styleId="Heading1">
    <w:name w:val="heading 1"/>
    <w:basedOn w:val="Normal"/>
    <w:next w:val="Normal"/>
    <w:link w:val="Heading1Char"/>
    <w:uiPriority w:val="9"/>
    <w:qFormat/>
    <w:rsid w:val="00C8006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3">
    <w:name w:val="heading 3"/>
    <w:basedOn w:val="Normal"/>
    <w:next w:val="Normal"/>
    <w:link w:val="Heading3Char"/>
    <w:uiPriority w:val="9"/>
    <w:unhideWhenUsed/>
    <w:qFormat/>
    <w:rsid w:val="00C8006D"/>
    <w:pPr>
      <w:keepNext/>
      <w:keepLines/>
      <w:spacing w:before="40" w:after="240"/>
      <w:outlineLvl w:val="2"/>
    </w:pPr>
    <w:rPr>
      <w:rFonts w:asciiTheme="majorHAnsi" w:eastAsiaTheme="majorEastAsia" w:hAnsiTheme="majorHAnsi" w:cstheme="majorBidi"/>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6D"/>
    <w:rPr>
      <w:rFonts w:asciiTheme="majorHAnsi" w:eastAsiaTheme="majorEastAsia" w:hAnsiTheme="majorHAnsi" w:cstheme="majorBidi"/>
      <w:color w:val="262626" w:themeColor="text1" w:themeTint="D9"/>
      <w:sz w:val="32"/>
      <w:szCs w:val="32"/>
    </w:rPr>
  </w:style>
  <w:style w:type="character" w:customStyle="1" w:styleId="Heading3Char">
    <w:name w:val="Heading 3 Char"/>
    <w:basedOn w:val="DefaultParagraphFont"/>
    <w:link w:val="Heading3"/>
    <w:uiPriority w:val="9"/>
    <w:rsid w:val="00C8006D"/>
    <w:rPr>
      <w:rFonts w:asciiTheme="majorHAnsi" w:eastAsiaTheme="majorEastAsia" w:hAnsiTheme="majorHAnsi" w:cstheme="majorBidi"/>
      <w:color w:val="0D0D0D" w:themeColor="text1" w:themeTint="F2"/>
      <w:sz w:val="24"/>
      <w:szCs w:val="24"/>
    </w:rPr>
  </w:style>
  <w:style w:type="paragraph" w:styleId="Header">
    <w:name w:val="header"/>
    <w:basedOn w:val="Normal"/>
    <w:link w:val="HeaderChar"/>
    <w:uiPriority w:val="99"/>
    <w:unhideWhenUsed/>
    <w:rsid w:val="00C80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06D"/>
    <w:rPr>
      <w:rFonts w:eastAsiaTheme="minorEastAsia"/>
    </w:rPr>
  </w:style>
  <w:style w:type="paragraph" w:styleId="Footer">
    <w:name w:val="footer"/>
    <w:basedOn w:val="Normal"/>
    <w:link w:val="FooterChar"/>
    <w:uiPriority w:val="99"/>
    <w:unhideWhenUsed/>
    <w:rsid w:val="00C80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06D"/>
    <w:rPr>
      <w:rFonts w:eastAsiaTheme="minorEastAsia"/>
    </w:rPr>
  </w:style>
  <w:style w:type="table" w:styleId="TableGridLight">
    <w:name w:val="Grid Table Light"/>
    <w:basedOn w:val="TableNormal"/>
    <w:uiPriority w:val="40"/>
    <w:rsid w:val="00C8006D"/>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8006D"/>
    <w:pPr>
      <w:ind w:left="720"/>
      <w:contextualSpacing/>
    </w:pPr>
  </w:style>
  <w:style w:type="paragraph" w:customStyle="1" w:styleId="paragraph">
    <w:name w:val="paragraph"/>
    <w:basedOn w:val="Normal"/>
    <w:rsid w:val="00C800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006D"/>
  </w:style>
  <w:style w:type="character" w:styleId="Hyperlink">
    <w:name w:val="Hyperlink"/>
    <w:basedOn w:val="DefaultParagraphFont"/>
    <w:uiPriority w:val="99"/>
    <w:unhideWhenUsed/>
    <w:rsid w:val="001C158E"/>
    <w:rPr>
      <w:color w:val="0000FF"/>
      <w:u w:val="single"/>
    </w:rPr>
  </w:style>
  <w:style w:type="character" w:styleId="UnresolvedMention">
    <w:name w:val="Unresolved Mention"/>
    <w:basedOn w:val="DefaultParagraphFont"/>
    <w:uiPriority w:val="99"/>
    <w:semiHidden/>
    <w:unhideWhenUsed/>
    <w:rsid w:val="00E64280"/>
    <w:rPr>
      <w:color w:val="605E5C"/>
      <w:shd w:val="clear" w:color="auto" w:fill="E1DFDD"/>
    </w:rPr>
  </w:style>
  <w:style w:type="character" w:styleId="FollowedHyperlink">
    <w:name w:val="FollowedHyperlink"/>
    <w:basedOn w:val="DefaultParagraphFont"/>
    <w:uiPriority w:val="99"/>
    <w:semiHidden/>
    <w:unhideWhenUsed/>
    <w:rsid w:val="00840E3E"/>
    <w:rPr>
      <w:color w:val="954F72" w:themeColor="followedHyperlink"/>
      <w:u w:val="single"/>
    </w:rPr>
  </w:style>
  <w:style w:type="paragraph" w:styleId="FootnoteText">
    <w:name w:val="footnote text"/>
    <w:basedOn w:val="Normal"/>
    <w:link w:val="FootnoteTextChar"/>
    <w:uiPriority w:val="99"/>
    <w:semiHidden/>
    <w:unhideWhenUsed/>
    <w:rsid w:val="002C1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F9E"/>
    <w:rPr>
      <w:rFonts w:eastAsiaTheme="minorEastAsia"/>
      <w:sz w:val="20"/>
      <w:szCs w:val="20"/>
    </w:rPr>
  </w:style>
  <w:style w:type="character" w:styleId="FootnoteReference">
    <w:name w:val="footnote reference"/>
    <w:basedOn w:val="DefaultParagraphFont"/>
    <w:uiPriority w:val="99"/>
    <w:semiHidden/>
    <w:unhideWhenUsed/>
    <w:rsid w:val="002C1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7306748/" TargetMode="External"/><Relationship Id="rId2" Type="http://schemas.openxmlformats.org/officeDocument/2006/relationships/hyperlink" Target="https://www.lshtm.ac.uk/research/centres-projects-groups/sipp" TargetMode="External"/><Relationship Id="rId1" Type="http://schemas.openxmlformats.org/officeDocument/2006/relationships/hyperlink" Target="https://bmcpublichealth.biomedcentral.com/articles/10.1186/s12889-017-42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34C45-BDB0-4162-97CC-1B803049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Flowers, Alistair</dc:creator>
  <cp:keywords/>
  <dc:description/>
  <cp:lastModifiedBy>Flowers, Alistair</cp:lastModifiedBy>
  <cp:revision>82</cp:revision>
  <dcterms:created xsi:type="dcterms:W3CDTF">2023-03-03T12:13:00Z</dcterms:created>
  <dcterms:modified xsi:type="dcterms:W3CDTF">2023-09-22T14:01:00Z</dcterms:modified>
</cp:coreProperties>
</file>