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2EC2" w14:textId="77777777" w:rsidR="00982FDE" w:rsidRPr="00982FDE" w:rsidRDefault="00982FDE" w:rsidP="00982FDE">
      <w:pPr>
        <w:rPr>
          <w:b/>
          <w:bCs/>
          <w:sz w:val="28"/>
          <w:szCs w:val="28"/>
        </w:rPr>
      </w:pPr>
      <w:r w:rsidRPr="00982FDE">
        <w:rPr>
          <w:b/>
          <w:bCs/>
          <w:sz w:val="28"/>
          <w:szCs w:val="28"/>
        </w:rPr>
        <w:t>London Healthy Places Network</w:t>
      </w:r>
    </w:p>
    <w:p w14:paraId="1970AC35" w14:textId="77777777" w:rsidR="00982FDE" w:rsidRPr="00982FDE" w:rsidRDefault="00982FDE" w:rsidP="00982FDE">
      <w:r w:rsidRPr="00982FDE">
        <w:t>The </w:t>
      </w:r>
      <w:r w:rsidRPr="00982FDE">
        <w:rPr>
          <w:b/>
          <w:bCs/>
        </w:rPr>
        <w:t>London Healthy Places Network</w:t>
      </w:r>
      <w:r w:rsidRPr="00982FDE">
        <w:t> has a remit of place-based approaches to health relevant to London. The networks are co-chaired on a rotating basis by network members and organisers from Southwark Council, other London Councils and the GLA. They bring together local authority colleagues and other professionals in policy, practice and research.</w:t>
      </w:r>
    </w:p>
    <w:p w14:paraId="04CF5086" w14:textId="77777777" w:rsidR="00793EDD" w:rsidRDefault="00793EDD" w:rsidP="00793EDD">
      <w:r>
        <w:t xml:space="preserve">Future network meetings are hybrid at Southwark Council offices in Tooley Street and online.  For more information and/or meeting invites, please contact Helen Turnage at </w:t>
      </w:r>
      <w:hyperlink r:id="rId9" w:history="1">
        <w:r w:rsidRPr="002047D1">
          <w:rPr>
            <w:rStyle w:val="Hyperlink"/>
          </w:rPr>
          <w:t>helen.turnage@southwark.gov.uk</w:t>
        </w:r>
      </w:hyperlink>
      <w:r>
        <w:t xml:space="preserve"> </w:t>
      </w:r>
    </w:p>
    <w:p w14:paraId="0523A57A" w14:textId="77777777" w:rsidR="00793EDD" w:rsidRDefault="00793EDD" w:rsidP="00982FDE">
      <w:pPr>
        <w:rPr>
          <w:b/>
          <w:bCs/>
        </w:rPr>
      </w:pPr>
    </w:p>
    <w:p w14:paraId="05EF3ED8" w14:textId="632E5FF2" w:rsidR="00982FDE" w:rsidRPr="00982FDE" w:rsidRDefault="00982FDE" w:rsidP="00982FDE">
      <w:r w:rsidRPr="00982FDE">
        <w:rPr>
          <w:b/>
          <w:bCs/>
        </w:rPr>
        <w:t>Previous meeting</w:t>
      </w:r>
      <w:r w:rsidR="00793EDD">
        <w:rPr>
          <w:b/>
          <w:bCs/>
        </w:rPr>
        <w:t>s</w:t>
      </w:r>
      <w:r w:rsidRPr="00982FDE">
        <w:rPr>
          <w:b/>
          <w:bCs/>
        </w:rPr>
        <w:t>:</w:t>
      </w:r>
    </w:p>
    <w:p w14:paraId="11E6909B" w14:textId="6188A64B" w:rsidR="00971252" w:rsidRDefault="00971252" w:rsidP="00793EDD">
      <w:pPr>
        <w:rPr>
          <w:b/>
          <w:bCs/>
          <w:sz w:val="24"/>
          <w:szCs w:val="24"/>
        </w:rPr>
      </w:pPr>
      <w:r>
        <w:rPr>
          <w:b/>
          <w:bCs/>
          <w:sz w:val="24"/>
          <w:szCs w:val="24"/>
        </w:rPr>
        <w:t>21 January 2026: Spotlight on the toughest challenges</w:t>
      </w:r>
    </w:p>
    <w:p w14:paraId="5E31E9BE" w14:textId="6E2A501D" w:rsidR="00971252" w:rsidRPr="00971252" w:rsidRDefault="00971252" w:rsidP="00971252">
      <w:pPr>
        <w:rPr>
          <w:sz w:val="24"/>
          <w:szCs w:val="24"/>
        </w:rPr>
      </w:pPr>
      <w:r>
        <w:rPr>
          <w:sz w:val="24"/>
          <w:szCs w:val="24"/>
        </w:rPr>
        <w:t xml:space="preserve">The meeting </w:t>
      </w:r>
      <w:r w:rsidRPr="00971252">
        <w:rPr>
          <w:sz w:val="24"/>
          <w:szCs w:val="24"/>
        </w:rPr>
        <w:t xml:space="preserve"> centred on three case studies highlighting areas in Healthy Places officers’ portfolios where progress had been particularly difficult. These case studies then informed breakout discussions where attendees shared experiences and explored possible solutions.</w:t>
      </w:r>
    </w:p>
    <w:p w14:paraId="3BE1013B" w14:textId="77777777" w:rsidR="00971252" w:rsidRPr="00971252" w:rsidRDefault="00971252" w:rsidP="00971252">
      <w:pPr>
        <w:rPr>
          <w:sz w:val="24"/>
          <w:szCs w:val="24"/>
        </w:rPr>
      </w:pPr>
      <w:r w:rsidRPr="00971252">
        <w:rPr>
          <w:sz w:val="24"/>
          <w:szCs w:val="24"/>
        </w:rPr>
        <w:t>The first case study, presented by Ros McDermott (Southwark Council), focused on the Hot Food Takeaway policy in the NPPF. Ros outlined the limitations of this policy in addressing the rapid rise of </w:t>
      </w:r>
      <w:r w:rsidRPr="00971252">
        <w:rPr>
          <w:i/>
          <w:iCs/>
          <w:sz w:val="24"/>
          <w:szCs w:val="24"/>
        </w:rPr>
        <w:t>Class E</w:t>
      </w:r>
      <w:r w:rsidRPr="00971252">
        <w:rPr>
          <w:sz w:val="24"/>
          <w:szCs w:val="24"/>
        </w:rPr>
        <w:t> </w:t>
      </w:r>
      <w:r w:rsidRPr="00971252">
        <w:rPr>
          <w:i/>
          <w:iCs/>
          <w:sz w:val="24"/>
          <w:szCs w:val="24"/>
        </w:rPr>
        <w:t>(b) </w:t>
      </w:r>
      <w:r w:rsidRPr="00971252">
        <w:rPr>
          <w:sz w:val="24"/>
          <w:szCs w:val="24"/>
        </w:rPr>
        <w:t>fast</w:t>
      </w:r>
      <w:r w:rsidRPr="00971252">
        <w:rPr>
          <w:sz w:val="24"/>
          <w:szCs w:val="24"/>
        </w:rPr>
        <w:noBreakHyphen/>
        <w:t>food restaurants. Two points relevant to the </w:t>
      </w:r>
      <w:hyperlink r:id="rId10" w:tgtFrame="_blank" w:tooltip="https://www.gov.uk/government/consultations/national-planning-policy-framework-proposed-reforms-and-other-changes-to-the-planning-system" w:history="1">
        <w:r w:rsidRPr="00971252">
          <w:rPr>
            <w:rStyle w:val="Hyperlink"/>
            <w:sz w:val="24"/>
            <w:szCs w:val="24"/>
          </w:rPr>
          <w:t>current NPPF consultation</w:t>
        </w:r>
      </w:hyperlink>
      <w:r w:rsidRPr="00971252">
        <w:rPr>
          <w:sz w:val="24"/>
          <w:szCs w:val="24"/>
        </w:rPr>
        <w:t> were raised: the lack of clarity around how the term 'fast food outlets' should be applied to units other than </w:t>
      </w:r>
      <w:r w:rsidRPr="00971252">
        <w:rPr>
          <w:i/>
          <w:iCs/>
          <w:sz w:val="24"/>
          <w:szCs w:val="24"/>
        </w:rPr>
        <w:t>sui generis</w:t>
      </w:r>
      <w:r w:rsidRPr="00971252">
        <w:rPr>
          <w:sz w:val="24"/>
          <w:szCs w:val="24"/>
        </w:rPr>
        <w:t> Hot Food Takeaway, and also the vague definition of 'reasonable walking distance' proposed in the new NPPF allowing a loophole that businesses may exploit. In Southwark, 400m exclusion zones around schools are included in the Local Plan effectively cover the whole of the Borough. However, there is a risk this will be overturned with the centralisation of decision-making and plan-making policies in the new NPPF. </w:t>
      </w:r>
    </w:p>
    <w:p w14:paraId="41F8FACB" w14:textId="77777777" w:rsidR="00971252" w:rsidRPr="00971252" w:rsidRDefault="00971252" w:rsidP="00971252">
      <w:pPr>
        <w:rPr>
          <w:sz w:val="24"/>
          <w:szCs w:val="24"/>
        </w:rPr>
      </w:pPr>
      <w:r w:rsidRPr="00971252">
        <w:rPr>
          <w:sz w:val="24"/>
          <w:szCs w:val="24"/>
        </w:rPr>
        <w:t>The second case study was presented by Catriona MacRae (Haringey Council), who highlighted a rapid increase in applications for large digital 'Street Hubs' that are replacing former phone boxes. She outlined concerns about their potential public health impacts, including increased advertising exposure and possible illicit use of phone services. While Haringey had refused several applications, some were subsequently approved on appeal, leading to installations on busy high streets.</w:t>
      </w:r>
    </w:p>
    <w:p w14:paraId="07BA06BB" w14:textId="77777777" w:rsidR="00971252" w:rsidRPr="00971252" w:rsidRDefault="00971252" w:rsidP="00971252">
      <w:pPr>
        <w:rPr>
          <w:sz w:val="24"/>
          <w:szCs w:val="24"/>
        </w:rPr>
      </w:pPr>
      <w:r w:rsidRPr="00971252">
        <w:rPr>
          <w:sz w:val="24"/>
          <w:szCs w:val="24"/>
        </w:rPr>
        <w:t>The final case study was jointly delivered by Fran Bury (Islington Council) and Katherine Carr (Barnet Council). They described how gambling operators are taking advantage of gaps between the planning and licensing systems. In Islington, refusals for betting shops were overturned by the Planning Inspectorate, while in Barnet, Adult Gaming Centres were submitting licensing and planning applications simultaneously and then using a granted licence to support their case for planning permission.</w:t>
      </w:r>
    </w:p>
    <w:p w14:paraId="06A0E444" w14:textId="77777777" w:rsidR="00971252" w:rsidRPr="00971252" w:rsidRDefault="00971252" w:rsidP="00971252">
      <w:pPr>
        <w:rPr>
          <w:sz w:val="24"/>
          <w:szCs w:val="24"/>
        </w:rPr>
      </w:pPr>
      <w:r w:rsidRPr="00971252">
        <w:rPr>
          <w:sz w:val="24"/>
          <w:szCs w:val="24"/>
        </w:rPr>
        <w:lastRenderedPageBreak/>
        <w:t>During the breakout discussions, attendees shared similar challenges faced in their own boroughs and generated ideas for collective action. There was strong support for raising concerns around the Hot Food Takeaway policy through the NPPF consultation response to Chapter 16; coordinated advocacy at regional and national levels on outdoor digital advertising controls; the development of a pan</w:t>
      </w:r>
      <w:r w:rsidRPr="00971252">
        <w:rPr>
          <w:sz w:val="24"/>
          <w:szCs w:val="24"/>
        </w:rPr>
        <w:noBreakHyphen/>
        <w:t>London practice network on gambling harms; shared briefing packs for councillors that can be adapted locally on these three issues, and national advocacy to address structural legislative barriers.</w:t>
      </w:r>
    </w:p>
    <w:p w14:paraId="5A9C45ED" w14:textId="77777777" w:rsidR="00971252" w:rsidRDefault="00971252" w:rsidP="00793EDD">
      <w:pPr>
        <w:rPr>
          <w:b/>
          <w:bCs/>
          <w:sz w:val="24"/>
          <w:szCs w:val="24"/>
        </w:rPr>
      </w:pPr>
    </w:p>
    <w:p w14:paraId="066ECF26" w14:textId="77777777" w:rsidR="00971252" w:rsidRDefault="00971252" w:rsidP="00793EDD">
      <w:pPr>
        <w:rPr>
          <w:b/>
          <w:bCs/>
          <w:sz w:val="24"/>
          <w:szCs w:val="24"/>
        </w:rPr>
      </w:pPr>
    </w:p>
    <w:p w14:paraId="75C63AB6" w14:textId="5546566F" w:rsidR="00793EDD" w:rsidRPr="00793EDD" w:rsidRDefault="00793EDD" w:rsidP="00793EDD">
      <w:pPr>
        <w:rPr>
          <w:b/>
          <w:bCs/>
          <w:sz w:val="24"/>
          <w:szCs w:val="24"/>
        </w:rPr>
      </w:pPr>
      <w:r w:rsidRPr="00793EDD">
        <w:rPr>
          <w:b/>
          <w:bCs/>
          <w:sz w:val="24"/>
          <w:szCs w:val="24"/>
        </w:rPr>
        <w:t>17 September 2025: Access to Public Toilets</w:t>
      </w:r>
    </w:p>
    <w:p w14:paraId="086F0C2A" w14:textId="77777777" w:rsidR="00793EDD" w:rsidRDefault="00793EDD" w:rsidP="00793EDD">
      <w:r>
        <w:t xml:space="preserve">The first presentation from John McGeachy of Age UK set out the issue, outlining the health impacts that a lack of public toilets has on residents of London and their work to campaign for better toilet access. </w:t>
      </w:r>
    </w:p>
    <w:p w14:paraId="27326E24" w14:textId="77777777" w:rsidR="00793EDD" w:rsidRPr="008C3F08" w:rsidRDefault="00793EDD" w:rsidP="00793EDD">
      <w:pPr>
        <w:rPr>
          <w:rFonts w:cs="Arial"/>
          <w:szCs w:val="24"/>
        </w:rPr>
      </w:pPr>
      <w:r>
        <w:t>‘</w:t>
      </w:r>
      <w:hyperlink r:id="rId11" w:tgtFrame="_blank" w:tooltip="https://www.colostomyuk.org/campaigns/toilets/" w:history="1">
        <w:r>
          <w:rPr>
            <w:rFonts w:eastAsia="Times New Roman" w:cs="Arial"/>
            <w:color w:val="0000FF"/>
            <w:szCs w:val="24"/>
            <w:u w:val="single"/>
            <w:lang w:eastAsia="en-GB"/>
          </w:rPr>
          <w:t>Stoma friendly toilets</w:t>
        </w:r>
      </w:hyperlink>
      <w:r>
        <w:t xml:space="preserve">’ were discussed with </w:t>
      </w:r>
      <w:r w:rsidRPr="00094EC0">
        <w:t>Shauna Hemphill</w:t>
      </w:r>
      <w:r>
        <w:t xml:space="preserve"> and </w:t>
      </w:r>
      <w:r w:rsidRPr="00094EC0">
        <w:t>Peta Barratt</w:t>
      </w:r>
      <w:r>
        <w:t xml:space="preserve"> from Colostomy UK who reported on lack of facilities for ostomates and advocated for guidance to be followed to ensure accessible toilets include mirrors, hooks and shelves to make them stoma friendly.  </w:t>
      </w:r>
    </w:p>
    <w:p w14:paraId="54B82E79" w14:textId="77777777" w:rsidR="00793EDD" w:rsidRDefault="00793EDD" w:rsidP="00793EDD">
      <w:r>
        <w:t>Vimal</w:t>
      </w:r>
      <w:r w:rsidRPr="00094EC0">
        <w:t xml:space="preserve"> Varma</w:t>
      </w:r>
      <w:r>
        <w:t xml:space="preserve"> presented on the City of London’s ‘Community Toilet Scheme’, which started in 2010 and currently has 70 members. Vimal outlined benefits of the scheme to the public as well as for businesses. </w:t>
      </w:r>
    </w:p>
    <w:p w14:paraId="38DBB82A" w14:textId="77777777" w:rsidR="00793EDD" w:rsidRDefault="00793EDD" w:rsidP="00793EDD">
      <w:r>
        <w:t xml:space="preserve">To conclude the session, </w:t>
      </w:r>
      <w:r w:rsidRPr="00E06885">
        <w:t>Jade Matthews</w:t>
      </w:r>
      <w:r>
        <w:t xml:space="preserve"> from Transport for London gave an overview of plans for £3 million of funding over the next </w:t>
      </w:r>
      <w:r w:rsidRPr="008E5EE1">
        <w:t>five years to improve toilet access</w:t>
      </w:r>
      <w:r>
        <w:t xml:space="preserve"> in TfL stations, including live data on </w:t>
      </w:r>
      <w:r w:rsidRPr="008E5EE1">
        <w:t xml:space="preserve">toilet availability </w:t>
      </w:r>
      <w:r>
        <w:t xml:space="preserve">in the </w:t>
      </w:r>
      <w:r w:rsidRPr="008E5EE1">
        <w:t>TfL GO app</w:t>
      </w:r>
      <w:r>
        <w:t xml:space="preserve"> so that customers can securely plan their journeys.  </w:t>
      </w:r>
    </w:p>
    <w:p w14:paraId="6D2BEAC0" w14:textId="77777777" w:rsidR="00793EDD" w:rsidRDefault="00793EDD" w:rsidP="00793EDD"/>
    <w:p w14:paraId="386F6AD3" w14:textId="4399ADCD" w:rsidR="00793EDD" w:rsidRPr="00793EDD" w:rsidRDefault="00793EDD" w:rsidP="00982FDE">
      <w:pPr>
        <w:rPr>
          <w:b/>
          <w:bCs/>
          <w:sz w:val="24"/>
          <w:szCs w:val="24"/>
        </w:rPr>
      </w:pPr>
      <w:r w:rsidRPr="00793EDD">
        <w:rPr>
          <w:b/>
          <w:bCs/>
          <w:sz w:val="24"/>
          <w:szCs w:val="24"/>
        </w:rPr>
        <w:t>21 May 2025</w:t>
      </w:r>
      <w:r>
        <w:rPr>
          <w:b/>
          <w:bCs/>
          <w:sz w:val="24"/>
          <w:szCs w:val="24"/>
        </w:rPr>
        <w:t>:</w:t>
      </w:r>
      <w:r w:rsidRPr="00793EDD">
        <w:rPr>
          <w:b/>
          <w:bCs/>
          <w:sz w:val="24"/>
          <w:szCs w:val="24"/>
        </w:rPr>
        <w:t xml:space="preserve"> Towards a new London Plan</w:t>
      </w:r>
    </w:p>
    <w:p w14:paraId="464AA355" w14:textId="10DE44FE" w:rsidR="00982FDE" w:rsidRPr="00982FDE" w:rsidRDefault="00982FDE" w:rsidP="00982FDE">
      <w:r w:rsidRPr="00982FDE">
        <w:t>At the Healthy Places network meeting on the </w:t>
      </w:r>
      <w:r w:rsidRPr="00982FDE">
        <w:rPr>
          <w:b/>
          <w:bCs/>
        </w:rPr>
        <w:t>21 May</w:t>
      </w:r>
      <w:r w:rsidRPr="00982FDE">
        <w:t>, colleagues came together to develop a joint response to the ‘</w:t>
      </w:r>
      <w:r w:rsidRPr="00982FDE">
        <w:rPr>
          <w:i/>
          <w:iCs/>
        </w:rPr>
        <w:t>Towards a New London Plan</w:t>
      </w:r>
      <w:r w:rsidRPr="00982FDE">
        <w:t>‘ consultation. The session focused on reviewing the questions posed by the Greater London Authority (GLA) regarding proposed changes to the London Plan. Attendees then broke into groups to discuss what they would like to see reflected in the updated Plan.</w:t>
      </w:r>
    </w:p>
    <w:p w14:paraId="3868DCEE" w14:textId="77777777" w:rsidR="00982FDE" w:rsidRPr="00982FDE" w:rsidRDefault="00982FDE" w:rsidP="00982FDE">
      <w:r w:rsidRPr="00982FDE">
        <w:t>If you would like a copy of the network’s response, please email </w:t>
      </w:r>
      <w:hyperlink r:id="rId12" w:history="1">
        <w:r w:rsidRPr="00982FDE">
          <w:rPr>
            <w:rStyle w:val="Hyperlink"/>
          </w:rPr>
          <w:t>Ros.McDermott@southwark.gov.uk</w:t>
        </w:r>
      </w:hyperlink>
    </w:p>
    <w:p w14:paraId="1FD39B84" w14:textId="77777777" w:rsidR="00AC1C08" w:rsidRDefault="00AC1C08"/>
    <w:sectPr w:rsidR="00AC1C0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3343" w14:textId="77777777" w:rsidR="00793EDD" w:rsidRDefault="00793EDD" w:rsidP="00793EDD">
      <w:pPr>
        <w:spacing w:after="0" w:line="240" w:lineRule="auto"/>
      </w:pPr>
      <w:r>
        <w:separator/>
      </w:r>
    </w:p>
  </w:endnote>
  <w:endnote w:type="continuationSeparator" w:id="0">
    <w:p w14:paraId="2A3E4C7A" w14:textId="77777777" w:rsidR="00793EDD" w:rsidRDefault="00793EDD" w:rsidP="0079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D4D3" w14:textId="77777777" w:rsidR="00793EDD" w:rsidRDefault="00793EDD" w:rsidP="00793EDD">
      <w:pPr>
        <w:spacing w:after="0" w:line="240" w:lineRule="auto"/>
      </w:pPr>
      <w:r>
        <w:separator/>
      </w:r>
    </w:p>
  </w:footnote>
  <w:footnote w:type="continuationSeparator" w:id="0">
    <w:p w14:paraId="59125475" w14:textId="77777777" w:rsidR="00793EDD" w:rsidRDefault="00793EDD" w:rsidP="0079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F9B9" w14:textId="45DB08E1" w:rsidR="00793EDD" w:rsidRDefault="00793EDD" w:rsidP="00793EDD">
    <w:pPr>
      <w:pStyle w:val="Header"/>
    </w:pPr>
    <w:r>
      <w:rPr>
        <w:noProof/>
      </w:rPr>
      <w:drawing>
        <wp:inline distT="0" distB="0" distL="0" distR="0" wp14:anchorId="7EF07D8C" wp14:editId="04B4E9A3">
          <wp:extent cx="1193800" cy="642815"/>
          <wp:effectExtent l="0" t="0" r="0" b="0"/>
          <wp:docPr id="84994718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4718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531" cy="649670"/>
                  </a:xfrm>
                  <a:prstGeom prst="rect">
                    <a:avLst/>
                  </a:prstGeom>
                </pic:spPr>
              </pic:pic>
            </a:graphicData>
          </a:graphic>
        </wp:inline>
      </w:drawing>
    </w:r>
  </w:p>
  <w:p w14:paraId="3CF761A4" w14:textId="77777777" w:rsidR="00793EDD" w:rsidRPr="00793EDD" w:rsidRDefault="00793EDD" w:rsidP="00793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DE"/>
    <w:rsid w:val="000307E6"/>
    <w:rsid w:val="0028743C"/>
    <w:rsid w:val="00522B8E"/>
    <w:rsid w:val="00793EDD"/>
    <w:rsid w:val="00971252"/>
    <w:rsid w:val="00982FDE"/>
    <w:rsid w:val="00AC1C08"/>
    <w:rsid w:val="00BC3A7F"/>
    <w:rsid w:val="00CE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B4443"/>
  <w15:chartTrackingRefBased/>
  <w15:docId w15:val="{997C9737-ED1D-4364-B3AE-9427A00B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FDE"/>
    <w:rPr>
      <w:rFonts w:eastAsiaTheme="majorEastAsia" w:cstheme="majorBidi"/>
      <w:color w:val="272727" w:themeColor="text1" w:themeTint="D8"/>
    </w:rPr>
  </w:style>
  <w:style w:type="paragraph" w:styleId="Title">
    <w:name w:val="Title"/>
    <w:basedOn w:val="Normal"/>
    <w:next w:val="Normal"/>
    <w:link w:val="TitleChar"/>
    <w:uiPriority w:val="10"/>
    <w:qFormat/>
    <w:rsid w:val="0098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FDE"/>
    <w:pPr>
      <w:spacing w:before="160"/>
      <w:jc w:val="center"/>
    </w:pPr>
    <w:rPr>
      <w:i/>
      <w:iCs/>
      <w:color w:val="404040" w:themeColor="text1" w:themeTint="BF"/>
    </w:rPr>
  </w:style>
  <w:style w:type="character" w:customStyle="1" w:styleId="QuoteChar">
    <w:name w:val="Quote Char"/>
    <w:basedOn w:val="DefaultParagraphFont"/>
    <w:link w:val="Quote"/>
    <w:uiPriority w:val="29"/>
    <w:rsid w:val="00982FDE"/>
    <w:rPr>
      <w:i/>
      <w:iCs/>
      <w:color w:val="404040" w:themeColor="text1" w:themeTint="BF"/>
    </w:rPr>
  </w:style>
  <w:style w:type="paragraph" w:styleId="ListParagraph">
    <w:name w:val="List Paragraph"/>
    <w:basedOn w:val="Normal"/>
    <w:uiPriority w:val="34"/>
    <w:qFormat/>
    <w:rsid w:val="00982FDE"/>
    <w:pPr>
      <w:ind w:left="720"/>
      <w:contextualSpacing/>
    </w:pPr>
  </w:style>
  <w:style w:type="character" w:styleId="IntenseEmphasis">
    <w:name w:val="Intense Emphasis"/>
    <w:basedOn w:val="DefaultParagraphFont"/>
    <w:uiPriority w:val="21"/>
    <w:qFormat/>
    <w:rsid w:val="00982FDE"/>
    <w:rPr>
      <w:i/>
      <w:iCs/>
      <w:color w:val="0F4761" w:themeColor="accent1" w:themeShade="BF"/>
    </w:rPr>
  </w:style>
  <w:style w:type="paragraph" w:styleId="IntenseQuote">
    <w:name w:val="Intense Quote"/>
    <w:basedOn w:val="Normal"/>
    <w:next w:val="Normal"/>
    <w:link w:val="IntenseQuoteChar"/>
    <w:uiPriority w:val="30"/>
    <w:qFormat/>
    <w:rsid w:val="0098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FDE"/>
    <w:rPr>
      <w:i/>
      <w:iCs/>
      <w:color w:val="0F4761" w:themeColor="accent1" w:themeShade="BF"/>
    </w:rPr>
  </w:style>
  <w:style w:type="character" w:styleId="IntenseReference">
    <w:name w:val="Intense Reference"/>
    <w:basedOn w:val="DefaultParagraphFont"/>
    <w:uiPriority w:val="32"/>
    <w:qFormat/>
    <w:rsid w:val="00982FDE"/>
    <w:rPr>
      <w:b/>
      <w:bCs/>
      <w:smallCaps/>
      <w:color w:val="0F4761" w:themeColor="accent1" w:themeShade="BF"/>
      <w:spacing w:val="5"/>
    </w:rPr>
  </w:style>
  <w:style w:type="character" w:styleId="Hyperlink">
    <w:name w:val="Hyperlink"/>
    <w:basedOn w:val="DefaultParagraphFont"/>
    <w:uiPriority w:val="99"/>
    <w:unhideWhenUsed/>
    <w:rsid w:val="00982FDE"/>
    <w:rPr>
      <w:color w:val="467886" w:themeColor="hyperlink"/>
      <w:u w:val="single"/>
    </w:rPr>
  </w:style>
  <w:style w:type="character" w:styleId="UnresolvedMention">
    <w:name w:val="Unresolved Mention"/>
    <w:basedOn w:val="DefaultParagraphFont"/>
    <w:uiPriority w:val="99"/>
    <w:semiHidden/>
    <w:unhideWhenUsed/>
    <w:rsid w:val="00982FDE"/>
    <w:rPr>
      <w:color w:val="605E5C"/>
      <w:shd w:val="clear" w:color="auto" w:fill="E1DFDD"/>
    </w:rPr>
  </w:style>
  <w:style w:type="paragraph" w:styleId="Header">
    <w:name w:val="header"/>
    <w:basedOn w:val="Normal"/>
    <w:link w:val="HeaderChar"/>
    <w:uiPriority w:val="99"/>
    <w:unhideWhenUsed/>
    <w:rsid w:val="00793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DD"/>
  </w:style>
  <w:style w:type="paragraph" w:styleId="Footer">
    <w:name w:val="footer"/>
    <w:basedOn w:val="Normal"/>
    <w:link w:val="FooterChar"/>
    <w:uiPriority w:val="99"/>
    <w:unhideWhenUsed/>
    <w:rsid w:val="00793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os.McDermott@southwar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lostomyuk.org/campaigns/toile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consultations/national-planning-policy-framework-proposed-reforms-and-other-changes-to-the-planning-system" TargetMode="External"/><Relationship Id="rId4" Type="http://schemas.openxmlformats.org/officeDocument/2006/relationships/styles" Target="styles.xml"/><Relationship Id="rId9" Type="http://schemas.openxmlformats.org/officeDocument/2006/relationships/hyperlink" Target="mailto:helen.turnage@southwark.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f1f266-c8e0-48b7-ae4c-e49694ad42d6" xsi:nil="true"/>
    <lcf76f155ced4ddcb4097134ff3c332f xmlns="e29299b3-7961-4a3f-846a-a68e5fef23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5C960F169E04DB144BC6ED5A47BDA" ma:contentTypeVersion="16" ma:contentTypeDescription="Create a new document." ma:contentTypeScope="" ma:versionID="16af088b4f493d96fe0ebd0f0c48455c">
  <xsd:schema xmlns:xsd="http://www.w3.org/2001/XMLSchema" xmlns:xs="http://www.w3.org/2001/XMLSchema" xmlns:p="http://schemas.microsoft.com/office/2006/metadata/properties" xmlns:ns2="e29299b3-7961-4a3f-846a-a68e5fef2348" xmlns:ns3="f6f1f266-c8e0-48b7-ae4c-e49694ad42d6" targetNamespace="http://schemas.microsoft.com/office/2006/metadata/properties" ma:root="true" ma:fieldsID="59fc4c5e8e224dde0b20e2deb279d08c" ns2:_="" ns3:_="">
    <xsd:import namespace="e29299b3-7961-4a3f-846a-a68e5fef2348"/>
    <xsd:import namespace="f6f1f266-c8e0-48b7-ae4c-e49694ad4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99b3-7961-4a3f-846a-a68e5fef2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987b79-43a7-4165-b647-6ce14f137a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1f266-c8e0-48b7-ae4c-e49694ad42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4ac3da-6b7d-492e-a613-c11fc3032417}" ma:internalName="TaxCatchAll" ma:showField="CatchAllData" ma:web="f6f1f266-c8e0-48b7-ae4c-e49694ad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19733-6CCA-4C2E-94DD-D40F56F2759C}">
  <ds:schemaRefs>
    <ds:schemaRef ds:uri="http://schemas.microsoft.com/sharepoint/v3/contenttype/forms"/>
  </ds:schemaRefs>
</ds:datastoreItem>
</file>

<file path=customXml/itemProps2.xml><?xml version="1.0" encoding="utf-8"?>
<ds:datastoreItem xmlns:ds="http://schemas.openxmlformats.org/officeDocument/2006/customXml" ds:itemID="{4F1A0468-2077-4B46-AE85-6080E55691A1}">
  <ds:schemaRefs>
    <ds:schemaRef ds:uri="http://purl.org/dc/dcmitype/"/>
    <ds:schemaRef ds:uri="http://schemas.microsoft.com/office/2006/documentManagement/types"/>
    <ds:schemaRef ds:uri="http://purl.org/dc/elements/1.1/"/>
    <ds:schemaRef ds:uri="http://purl.org/dc/terms/"/>
    <ds:schemaRef ds:uri="f6f1f266-c8e0-48b7-ae4c-e49694ad42d6"/>
    <ds:schemaRef ds:uri="http://schemas.microsoft.com/office/infopath/2007/PartnerControls"/>
    <ds:schemaRef ds:uri="e29299b3-7961-4a3f-846a-a68e5fef234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B6721A-A091-4195-A9D6-92C7C2463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99b3-7961-4a3f-846a-a68e5fef2348"/>
    <ds:schemaRef ds:uri="f6f1f266-c8e0-48b7-ae4c-e49694ad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860</Words>
  <Characters>4581</Characters>
  <Application>Microsoft Office Word</Application>
  <DocSecurity>0</DocSecurity>
  <Lines>88</Lines>
  <Paragraphs>38</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Forrest (ADPH London)</dc:creator>
  <cp:keywords/>
  <dc:description/>
  <cp:lastModifiedBy>Emer Forrest (ADPH London)</cp:lastModifiedBy>
  <cp:revision>2</cp:revision>
  <dcterms:created xsi:type="dcterms:W3CDTF">2026-01-29T09:35:00Z</dcterms:created>
  <dcterms:modified xsi:type="dcterms:W3CDTF">2026-01-29T09:35:00Z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0x010100CBF5C960F169E04DB144BC6ED5A47BDA</vt:lpwstr>
  </property>
  <property fmtid="{D5CDD505-2E9C-101B-9397-08002B2CF9AE}" pid="3" name="MediaServiceImageTags">
    <vt:lpwstr/>
  </property>
</Properties>
</file>