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79" w:rsidRPr="00706AA8" w:rsidRDefault="00E05579" w:rsidP="00E05579">
      <w:pPr>
        <w:keepNext/>
        <w:keepLines/>
        <w:spacing w:after="0"/>
        <w:jc w:val="center"/>
        <w:outlineLvl w:val="0"/>
        <w:rPr>
          <w:rFonts w:asciiTheme="majorHAnsi" w:eastAsiaTheme="majorEastAsia" w:hAnsiTheme="majorHAnsi" w:cstheme="majorBidi"/>
          <w:b/>
          <w:sz w:val="36"/>
          <w:szCs w:val="36"/>
        </w:rPr>
      </w:pPr>
      <w:r w:rsidRPr="00706AA8">
        <w:rPr>
          <w:rFonts w:asciiTheme="majorHAnsi" w:eastAsiaTheme="majorEastAsia" w:hAnsiTheme="majorHAnsi" w:cstheme="majorBidi"/>
          <w:b/>
          <w:sz w:val="36"/>
          <w:szCs w:val="36"/>
        </w:rPr>
        <w:t>ADPH</w:t>
      </w:r>
      <w:r w:rsidR="00D447E8">
        <w:rPr>
          <w:rFonts w:asciiTheme="majorHAnsi" w:eastAsiaTheme="majorEastAsia" w:hAnsiTheme="majorHAnsi" w:cstheme="majorBidi"/>
          <w:b/>
          <w:sz w:val="36"/>
          <w:szCs w:val="36"/>
        </w:rPr>
        <w:t xml:space="preserve">, </w:t>
      </w:r>
      <w:r w:rsidRPr="00706AA8">
        <w:rPr>
          <w:rFonts w:asciiTheme="majorHAnsi" w:eastAsiaTheme="majorEastAsia" w:hAnsiTheme="majorHAnsi" w:cstheme="majorBidi"/>
          <w:b/>
          <w:sz w:val="36"/>
          <w:szCs w:val="36"/>
        </w:rPr>
        <w:t>PHE</w:t>
      </w:r>
      <w:r w:rsidR="00D447E8">
        <w:rPr>
          <w:rFonts w:asciiTheme="majorHAnsi" w:eastAsiaTheme="majorEastAsia" w:hAnsiTheme="majorHAnsi" w:cstheme="majorBidi"/>
          <w:b/>
          <w:sz w:val="36"/>
          <w:szCs w:val="36"/>
        </w:rPr>
        <w:t xml:space="preserve"> &amp; LGA</w:t>
      </w:r>
      <w:r w:rsidR="00706AA8" w:rsidRPr="00706AA8">
        <w:rPr>
          <w:rFonts w:asciiTheme="majorHAnsi" w:eastAsiaTheme="majorEastAsia" w:hAnsiTheme="majorHAnsi" w:cstheme="majorBidi"/>
          <w:b/>
          <w:sz w:val="36"/>
          <w:szCs w:val="36"/>
        </w:rPr>
        <w:t xml:space="preserve"> </w:t>
      </w:r>
      <w:r w:rsidRPr="00706AA8">
        <w:rPr>
          <w:rFonts w:asciiTheme="majorHAnsi" w:eastAsiaTheme="majorEastAsia" w:hAnsiTheme="majorHAnsi" w:cstheme="majorBidi"/>
          <w:b/>
          <w:sz w:val="36"/>
          <w:szCs w:val="36"/>
        </w:rPr>
        <w:t>Master</w:t>
      </w:r>
      <w:r w:rsidR="00706AA8" w:rsidRPr="00706AA8">
        <w:rPr>
          <w:rFonts w:asciiTheme="majorHAnsi" w:eastAsiaTheme="majorEastAsia" w:hAnsiTheme="majorHAnsi" w:cstheme="majorBidi"/>
          <w:b/>
          <w:sz w:val="36"/>
          <w:szCs w:val="36"/>
        </w:rPr>
        <w:t xml:space="preserve"> C</w:t>
      </w:r>
      <w:r w:rsidRPr="00706AA8">
        <w:rPr>
          <w:rFonts w:asciiTheme="majorHAnsi" w:eastAsiaTheme="majorEastAsia" w:hAnsiTheme="majorHAnsi" w:cstheme="majorBidi"/>
          <w:b/>
          <w:sz w:val="36"/>
          <w:szCs w:val="36"/>
        </w:rPr>
        <w:t>lass</w:t>
      </w:r>
    </w:p>
    <w:p w:rsidR="00E05579" w:rsidRPr="00E05579" w:rsidRDefault="00E05579" w:rsidP="00E05579">
      <w:pPr>
        <w:keepNext/>
        <w:keepLines/>
        <w:spacing w:after="0"/>
        <w:jc w:val="center"/>
        <w:outlineLvl w:val="0"/>
        <w:rPr>
          <w:rFonts w:asciiTheme="majorHAnsi" w:eastAsiaTheme="majorEastAsia" w:hAnsiTheme="majorHAnsi" w:cstheme="majorBidi"/>
          <w:b/>
          <w:sz w:val="44"/>
          <w:szCs w:val="44"/>
        </w:rPr>
      </w:pPr>
      <w:r w:rsidRPr="00E05579">
        <w:rPr>
          <w:rFonts w:asciiTheme="majorHAnsi" w:eastAsiaTheme="majorEastAsia" w:hAnsiTheme="majorHAnsi" w:cstheme="majorBidi"/>
          <w:b/>
          <w:sz w:val="44"/>
          <w:szCs w:val="44"/>
        </w:rPr>
        <w:t>Influencing across the Council</w:t>
      </w:r>
    </w:p>
    <w:p w:rsidR="00E05579" w:rsidRPr="00E05579" w:rsidRDefault="00706AA8" w:rsidP="00E05579">
      <w:pPr>
        <w:keepNext/>
        <w:keepLines/>
        <w:spacing w:after="0"/>
        <w:jc w:val="center"/>
        <w:outlineLvl w:val="0"/>
        <w:rPr>
          <w:rFonts w:asciiTheme="majorHAnsi" w:eastAsiaTheme="majorEastAsia" w:hAnsiTheme="majorHAnsi" w:cstheme="majorBidi"/>
          <w:b/>
          <w:sz w:val="40"/>
          <w:szCs w:val="40"/>
        </w:rPr>
      </w:pPr>
      <w:r>
        <w:rPr>
          <w:rFonts w:asciiTheme="majorHAnsi" w:eastAsiaTheme="majorEastAsia" w:hAnsiTheme="majorHAnsi" w:cstheme="majorBidi"/>
          <w:b/>
          <w:sz w:val="40"/>
          <w:szCs w:val="40"/>
        </w:rPr>
        <w:t>Health equity in all policies</w:t>
      </w:r>
    </w:p>
    <w:p w:rsidR="00E05579" w:rsidRPr="00E05579" w:rsidRDefault="00E05579" w:rsidP="00E05579">
      <w:pPr>
        <w:jc w:val="center"/>
        <w:rPr>
          <w:sz w:val="28"/>
          <w:szCs w:val="28"/>
        </w:rPr>
      </w:pPr>
      <w:r w:rsidRPr="00E05579">
        <w:rPr>
          <w:sz w:val="28"/>
          <w:szCs w:val="28"/>
        </w:rPr>
        <w:t>Exploring how D</w:t>
      </w:r>
      <w:r w:rsidR="00706AA8">
        <w:rPr>
          <w:sz w:val="28"/>
          <w:szCs w:val="28"/>
        </w:rPr>
        <w:t xml:space="preserve">irectors of Public Health </w:t>
      </w:r>
      <w:r w:rsidRPr="00E05579">
        <w:rPr>
          <w:sz w:val="28"/>
          <w:szCs w:val="28"/>
        </w:rPr>
        <w:t>can influence across the whole council to reduce health inequalities</w:t>
      </w:r>
    </w:p>
    <w:p w:rsidR="00F40410" w:rsidRDefault="00F40410" w:rsidP="00E05579">
      <w:pPr>
        <w:jc w:val="right"/>
        <w:rPr>
          <w:sz w:val="28"/>
          <w:szCs w:val="28"/>
        </w:rPr>
      </w:pPr>
    </w:p>
    <w:p w:rsidR="00F40410" w:rsidRDefault="00F40410" w:rsidP="00E05579">
      <w:pPr>
        <w:jc w:val="right"/>
        <w:rPr>
          <w:sz w:val="28"/>
          <w:szCs w:val="28"/>
        </w:rPr>
      </w:pPr>
      <w:r>
        <w:rPr>
          <w:noProof/>
          <w:lang w:eastAsia="en-GB"/>
        </w:rPr>
        <mc:AlternateContent>
          <mc:Choice Requires="wps">
            <w:drawing>
              <wp:anchor distT="0" distB="0" distL="114300" distR="114300" simplePos="0" relativeHeight="251659264" behindDoc="0" locked="0" layoutInCell="1" allowOverlap="1" wp14:anchorId="297F79D2" wp14:editId="1A7136CC">
                <wp:simplePos x="0" y="0"/>
                <wp:positionH relativeFrom="margin">
                  <wp:align>left</wp:align>
                </wp:positionH>
                <wp:positionV relativeFrom="paragraph">
                  <wp:posOffset>260985</wp:posOffset>
                </wp:positionV>
                <wp:extent cx="2505075" cy="1981200"/>
                <wp:effectExtent l="0" t="0" r="28575" b="285750"/>
                <wp:wrapNone/>
                <wp:docPr id="21" name="Rounded Rectangular Callout 21"/>
                <wp:cNvGraphicFramePr/>
                <a:graphic xmlns:a="http://schemas.openxmlformats.org/drawingml/2006/main">
                  <a:graphicData uri="http://schemas.microsoft.com/office/word/2010/wordprocessingShape">
                    <wps:wsp>
                      <wps:cNvSpPr/>
                      <wps:spPr>
                        <a:xfrm>
                          <a:off x="0" y="0"/>
                          <a:ext cx="2505075" cy="1981200"/>
                        </a:xfrm>
                        <a:prstGeom prst="wedgeRoundRectCallout">
                          <a:avLst/>
                        </a:prstGeom>
                        <a:noFill/>
                        <a:ln w="12700" cap="flat" cmpd="sng" algn="ctr">
                          <a:solidFill>
                            <a:srgbClr val="5B9BD5">
                              <a:shade val="50000"/>
                            </a:srgbClr>
                          </a:solidFill>
                          <a:prstDash val="solid"/>
                          <a:miter lim="800000"/>
                        </a:ln>
                        <a:effectLst/>
                      </wps:spPr>
                      <wps:txbx>
                        <w:txbxContent>
                          <w:p w:rsidR="00E05579" w:rsidRPr="00F40410" w:rsidRDefault="00706AA8" w:rsidP="00E05579">
                            <w:pPr>
                              <w:rPr>
                                <w:i/>
                                <w:iCs/>
                                <w:color w:val="1F497D"/>
                                <w:sz w:val="24"/>
                                <w:szCs w:val="24"/>
                              </w:rPr>
                            </w:pPr>
                            <w:r w:rsidRPr="00F40410">
                              <w:rPr>
                                <w:i/>
                                <w:iCs/>
                                <w:color w:val="1F497D"/>
                                <w:sz w:val="24"/>
                                <w:szCs w:val="24"/>
                              </w:rPr>
                              <w:t>“</w:t>
                            </w:r>
                            <w:r w:rsidR="00E05579" w:rsidRPr="00F40410">
                              <w:rPr>
                                <w:i/>
                                <w:iCs/>
                                <w:color w:val="1F497D"/>
                                <w:sz w:val="24"/>
                                <w:szCs w:val="24"/>
                              </w:rPr>
                              <w:t xml:space="preserve">The goal for </w:t>
                            </w:r>
                            <w:proofErr w:type="spellStart"/>
                            <w:r w:rsidR="00E05579" w:rsidRPr="00F40410">
                              <w:rPr>
                                <w:i/>
                                <w:iCs/>
                                <w:color w:val="1F497D"/>
                                <w:sz w:val="24"/>
                                <w:szCs w:val="24"/>
                              </w:rPr>
                              <w:t>DsPH</w:t>
                            </w:r>
                            <w:proofErr w:type="spellEnd"/>
                            <w:r w:rsidR="00E05579" w:rsidRPr="00F40410">
                              <w:rPr>
                                <w:i/>
                                <w:iCs/>
                                <w:color w:val="1F497D"/>
                                <w:sz w:val="24"/>
                                <w:szCs w:val="24"/>
                              </w:rPr>
                              <w:t xml:space="preserve"> is to use the whole LA budget to improve health and reduce health inequalities. This Master</w:t>
                            </w:r>
                            <w:r w:rsidRPr="00F40410">
                              <w:rPr>
                                <w:i/>
                                <w:iCs/>
                                <w:color w:val="1F497D"/>
                                <w:sz w:val="24"/>
                                <w:szCs w:val="24"/>
                              </w:rPr>
                              <w:t xml:space="preserve"> C</w:t>
                            </w:r>
                            <w:r w:rsidR="00E05579" w:rsidRPr="00F40410">
                              <w:rPr>
                                <w:i/>
                                <w:iCs/>
                                <w:color w:val="1F497D"/>
                                <w:sz w:val="24"/>
                                <w:szCs w:val="24"/>
                              </w:rPr>
                              <w:t>lass will give you the opportunity to develop skills to move further towards this.</w:t>
                            </w:r>
                            <w:r w:rsidRPr="00F40410">
                              <w:rPr>
                                <w:i/>
                                <w:iCs/>
                                <w:color w:val="1F497D"/>
                                <w:sz w:val="24"/>
                                <w:szCs w:val="24"/>
                              </w:rPr>
                              <w:t>”</w:t>
                            </w:r>
                          </w:p>
                          <w:p w:rsidR="00E05579" w:rsidRPr="00F40410" w:rsidRDefault="00706AA8" w:rsidP="00E05579">
                            <w:pPr>
                              <w:rPr>
                                <w:i/>
                                <w:iCs/>
                                <w:color w:val="1F497D"/>
                              </w:rPr>
                            </w:pPr>
                            <w:r w:rsidRPr="00F40410">
                              <w:rPr>
                                <w:i/>
                                <w:iCs/>
                                <w:color w:val="1F497D"/>
                              </w:rPr>
                              <w:t>Nicola Close (</w:t>
                            </w:r>
                            <w:r w:rsidR="00E05579" w:rsidRPr="00F40410">
                              <w:rPr>
                                <w:i/>
                                <w:iCs/>
                                <w:color w:val="1F497D"/>
                              </w:rPr>
                              <w:t>ADPH CEO</w:t>
                            </w:r>
                            <w:r w:rsidRPr="00F40410">
                              <w:rPr>
                                <w:i/>
                                <w:iCs/>
                                <w:color w:val="1F497D"/>
                              </w:rPr>
                              <w:t>)</w:t>
                            </w:r>
                          </w:p>
                          <w:p w:rsidR="00E05579" w:rsidRDefault="00E05579" w:rsidP="00E055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F79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 o:spid="_x0000_s1026" type="#_x0000_t62" style="position:absolute;left:0;text-align:left;margin-left:0;margin-top:20.55pt;width:197.25pt;height:15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" adj="6300,24300" filled="f" strokecolor="#41719c" strokeweight="1pt">
                <v:textbox>
                  <w:txbxContent>
                    <w:p w:rsidR="00E05579" w:rsidRPr="00F40410" w:rsidRDefault="00706AA8" w:rsidP="00E05579">
                      <w:pPr>
                        <w:rPr>
                          <w:i/>
                          <w:iCs/>
                          <w:color w:val="1F497D"/>
                          <w:sz w:val="24"/>
                          <w:szCs w:val="24"/>
                        </w:rPr>
                      </w:pPr>
                      <w:r w:rsidRPr="00F40410">
                        <w:rPr>
                          <w:i/>
                          <w:iCs/>
                          <w:color w:val="1F497D"/>
                          <w:sz w:val="24"/>
                          <w:szCs w:val="24"/>
                        </w:rPr>
                        <w:t>“</w:t>
                      </w:r>
                      <w:r w:rsidR="00E05579" w:rsidRPr="00F40410">
                        <w:rPr>
                          <w:i/>
                          <w:iCs/>
                          <w:color w:val="1F497D"/>
                          <w:sz w:val="24"/>
                          <w:szCs w:val="24"/>
                        </w:rPr>
                        <w:t xml:space="preserve">The goal for </w:t>
                      </w:r>
                      <w:proofErr w:type="spellStart"/>
                      <w:r w:rsidR="00E05579" w:rsidRPr="00F40410">
                        <w:rPr>
                          <w:i/>
                          <w:iCs/>
                          <w:color w:val="1F497D"/>
                          <w:sz w:val="24"/>
                          <w:szCs w:val="24"/>
                        </w:rPr>
                        <w:t>DsPH</w:t>
                      </w:r>
                      <w:proofErr w:type="spellEnd"/>
                      <w:r w:rsidR="00E05579" w:rsidRPr="00F40410">
                        <w:rPr>
                          <w:i/>
                          <w:iCs/>
                          <w:color w:val="1F497D"/>
                          <w:sz w:val="24"/>
                          <w:szCs w:val="24"/>
                        </w:rPr>
                        <w:t xml:space="preserve"> is to use the whole LA budget to improve health and reduce health inequalities. This Master</w:t>
                      </w:r>
                      <w:r w:rsidRPr="00F40410">
                        <w:rPr>
                          <w:i/>
                          <w:iCs/>
                          <w:color w:val="1F497D"/>
                          <w:sz w:val="24"/>
                          <w:szCs w:val="24"/>
                        </w:rPr>
                        <w:t xml:space="preserve"> C</w:t>
                      </w:r>
                      <w:r w:rsidR="00E05579" w:rsidRPr="00F40410">
                        <w:rPr>
                          <w:i/>
                          <w:iCs/>
                          <w:color w:val="1F497D"/>
                          <w:sz w:val="24"/>
                          <w:szCs w:val="24"/>
                        </w:rPr>
                        <w:t>lass will give you the opportunity to develop skills to move further towards this.</w:t>
                      </w:r>
                      <w:r w:rsidRPr="00F40410">
                        <w:rPr>
                          <w:i/>
                          <w:iCs/>
                          <w:color w:val="1F497D"/>
                          <w:sz w:val="24"/>
                          <w:szCs w:val="24"/>
                        </w:rPr>
                        <w:t>”</w:t>
                      </w:r>
                    </w:p>
                    <w:p w:rsidR="00E05579" w:rsidRPr="00F40410" w:rsidRDefault="00706AA8" w:rsidP="00E05579">
                      <w:pPr>
                        <w:rPr>
                          <w:i/>
                          <w:iCs/>
                          <w:color w:val="1F497D"/>
                        </w:rPr>
                      </w:pPr>
                      <w:r w:rsidRPr="00F40410">
                        <w:rPr>
                          <w:i/>
                          <w:iCs/>
                          <w:color w:val="1F497D"/>
                        </w:rPr>
                        <w:t>Nicola Close (</w:t>
                      </w:r>
                      <w:r w:rsidR="00E05579" w:rsidRPr="00F40410">
                        <w:rPr>
                          <w:i/>
                          <w:iCs/>
                          <w:color w:val="1F497D"/>
                        </w:rPr>
                        <w:t>ADPH CEO</w:t>
                      </w:r>
                      <w:r w:rsidRPr="00F40410">
                        <w:rPr>
                          <w:i/>
                          <w:iCs/>
                          <w:color w:val="1F497D"/>
                        </w:rPr>
                        <w:t>)</w:t>
                      </w:r>
                    </w:p>
                    <w:p w:rsidR="00E05579" w:rsidRDefault="00E05579" w:rsidP="00E05579"/>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1E94907" wp14:editId="7DA368C2">
                <wp:simplePos x="0" y="0"/>
                <wp:positionH relativeFrom="column">
                  <wp:posOffset>3057524</wp:posOffset>
                </wp:positionH>
                <wp:positionV relativeFrom="paragraph">
                  <wp:posOffset>127634</wp:posOffset>
                </wp:positionV>
                <wp:extent cx="3362325" cy="21621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3362325" cy="2162175"/>
                        </a:xfrm>
                        <a:prstGeom prst="rect">
                          <a:avLst/>
                        </a:prstGeom>
                        <a:solidFill>
                          <a:sysClr val="window" lastClr="FFFFFF"/>
                        </a:solidFill>
                        <a:ln w="6350">
                          <a:noFill/>
                        </a:ln>
                        <a:effectLst/>
                      </wps:spPr>
                      <wps:txbx>
                        <w:txbxContent>
                          <w:p w:rsidR="00E05579" w:rsidRPr="00F40410" w:rsidRDefault="00E05579" w:rsidP="00E05579">
                            <w:pPr>
                              <w:rPr>
                                <w:rFonts w:cs="Arial"/>
                                <w:sz w:val="24"/>
                                <w:szCs w:val="24"/>
                              </w:rPr>
                            </w:pPr>
                            <w:r w:rsidRPr="00F40410">
                              <w:rPr>
                                <w:rFonts w:cs="Arial"/>
                                <w:i/>
                                <w:color w:val="17375E"/>
                                <w:sz w:val="24"/>
                                <w:szCs w:val="24"/>
                              </w:rPr>
                              <w:t>“The Health in All Policies approach is a key means of harnessing the contribution of the whole of local government to public health and health equity. This Master Class will provide an important interactive opportunity to strengthen leadership and influence – and progress local</w:t>
                            </w:r>
                            <w:r w:rsidRPr="00F40410">
                              <w:rPr>
                                <w:rFonts w:ascii="Arial" w:hAnsi="Arial" w:cs="Arial"/>
                                <w:i/>
                                <w:color w:val="17375E"/>
                                <w:sz w:val="24"/>
                                <w:szCs w:val="24"/>
                              </w:rPr>
                              <w:t xml:space="preserve"> </w:t>
                            </w:r>
                            <w:r w:rsidRPr="00F40410">
                              <w:rPr>
                                <w:rFonts w:cs="Arial"/>
                                <w:i/>
                                <w:color w:val="17375E"/>
                                <w:sz w:val="24"/>
                                <w:szCs w:val="24"/>
                              </w:rPr>
                              <w:t>action towards a sustainable change in the public’s health.”</w:t>
                            </w:r>
                          </w:p>
                          <w:p w:rsidR="00E05579" w:rsidRPr="00F40410" w:rsidRDefault="00E05579" w:rsidP="00E05579">
                            <w:pPr>
                              <w:spacing w:line="240" w:lineRule="exact"/>
                              <w:rPr>
                                <w:rFonts w:ascii="Arial" w:hAnsi="Arial" w:cs="Arial"/>
                                <w:color w:val="1F497D"/>
                                <w:lang w:val="en-US" w:eastAsia="en-GB"/>
                              </w:rPr>
                            </w:pPr>
                            <w:r w:rsidRPr="00F40410">
                              <w:rPr>
                                <w:rFonts w:cs="Arial"/>
                                <w:i/>
                                <w:color w:val="17375E"/>
                              </w:rPr>
                              <w:t>Dr Ann Marie Connolly (</w:t>
                            </w:r>
                            <w:r w:rsidRPr="00F40410">
                              <w:rPr>
                                <w:rFonts w:cs="Arial"/>
                                <w:i/>
                                <w:color w:val="1F497D"/>
                                <w:lang w:val="en-US" w:eastAsia="en-GB"/>
                              </w:rPr>
                              <w:t>Deputy Director, Health Equity and Place, PHE</w:t>
                            </w:r>
                            <w:r w:rsidR="00666BA3" w:rsidRPr="00F40410">
                              <w:rPr>
                                <w:rFonts w:cs="Arial"/>
                                <w:i/>
                                <w:color w:val="1F497D"/>
                                <w:lang w:val="en-US" w:eastAsia="en-GB"/>
                              </w:rPr>
                              <w:t>)</w:t>
                            </w:r>
                          </w:p>
                          <w:p w:rsidR="00E05579" w:rsidRDefault="00E05579" w:rsidP="00E05579">
                            <w:pPr>
                              <w:rPr>
                                <w:rFonts w:ascii="Calibri" w:hAnsi="Calibri" w:cs="Times New Roman"/>
                              </w:rPr>
                            </w:pPr>
                          </w:p>
                          <w:p w:rsidR="00E05579" w:rsidRDefault="00E05579" w:rsidP="00E05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94907" id="_x0000_t202" coordsize="21600,21600" o:spt="202" path="m,l,21600r21600,l21600,xe">
                <v:stroke joinstyle="miter"/>
                <v:path gradientshapeok="t" o:connecttype="rect"/>
              </v:shapetype>
              <v:shape id="Text Box 20" o:spid="_x0000_s1027" type="#_x0000_t202" style="position:absolute;left:0;text-align:left;margin-left:240.75pt;margin-top:10.05pt;width:264.75pt;height:1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" fillcolor="window" stroked="f" strokeweight=".5pt">
                <v:textbox>
                  <w:txbxContent>
                    <w:p w:rsidR="00E05579" w:rsidRPr="00F40410" w:rsidRDefault="00E05579" w:rsidP="00E05579">
                      <w:pPr>
                        <w:rPr>
                          <w:rFonts w:cs="Arial"/>
                          <w:sz w:val="24"/>
                          <w:szCs w:val="24"/>
                        </w:rPr>
                      </w:pPr>
                      <w:r w:rsidRPr="00F40410">
                        <w:rPr>
                          <w:rFonts w:cs="Arial"/>
                          <w:i/>
                          <w:color w:val="17375E"/>
                          <w:sz w:val="24"/>
                          <w:szCs w:val="24"/>
                        </w:rPr>
                        <w:t>“The Health in All Policies approach is a key means of harnessing the contribution of the whole of local government to public health and health equity. This Master Class will provide an important interactive opportunity to strengthen leadership and influence – and progress local</w:t>
                      </w:r>
                      <w:r w:rsidRPr="00F40410">
                        <w:rPr>
                          <w:rFonts w:ascii="Arial" w:hAnsi="Arial" w:cs="Arial"/>
                          <w:i/>
                          <w:color w:val="17375E"/>
                          <w:sz w:val="24"/>
                          <w:szCs w:val="24"/>
                        </w:rPr>
                        <w:t xml:space="preserve"> </w:t>
                      </w:r>
                      <w:r w:rsidRPr="00F40410">
                        <w:rPr>
                          <w:rFonts w:cs="Arial"/>
                          <w:i/>
                          <w:color w:val="17375E"/>
                          <w:sz w:val="24"/>
                          <w:szCs w:val="24"/>
                        </w:rPr>
                        <w:t>action towards a sustainable change in the public’s health.”</w:t>
                      </w:r>
                    </w:p>
                    <w:p w:rsidR="00E05579" w:rsidRPr="00F40410" w:rsidRDefault="00E05579" w:rsidP="00E05579">
                      <w:pPr>
                        <w:spacing w:line="240" w:lineRule="exact"/>
                        <w:rPr>
                          <w:rFonts w:ascii="Arial" w:hAnsi="Arial" w:cs="Arial"/>
                          <w:color w:val="1F497D"/>
                          <w:lang w:val="en-US" w:eastAsia="en-GB"/>
                        </w:rPr>
                      </w:pPr>
                      <w:r w:rsidRPr="00F40410">
                        <w:rPr>
                          <w:rFonts w:cs="Arial"/>
                          <w:i/>
                          <w:color w:val="17375E"/>
                        </w:rPr>
                        <w:t>Dr Ann Marie Connolly (</w:t>
                      </w:r>
                      <w:r w:rsidRPr="00F40410">
                        <w:rPr>
                          <w:rFonts w:cs="Arial"/>
                          <w:i/>
                          <w:color w:val="1F497D"/>
                          <w:lang w:val="en-US" w:eastAsia="en-GB"/>
                        </w:rPr>
                        <w:t>Deputy Director, Health Equity and Place, PHE</w:t>
                      </w:r>
                      <w:r w:rsidR="00666BA3" w:rsidRPr="00F40410">
                        <w:rPr>
                          <w:rFonts w:cs="Arial"/>
                          <w:i/>
                          <w:color w:val="1F497D"/>
                          <w:lang w:val="en-US" w:eastAsia="en-GB"/>
                        </w:rPr>
                        <w:t>)</w:t>
                      </w:r>
                    </w:p>
                    <w:p w:rsidR="00E05579" w:rsidRDefault="00E05579" w:rsidP="00E05579">
                      <w:pPr>
                        <w:rPr>
                          <w:rFonts w:ascii="Calibri" w:hAnsi="Calibri" w:cs="Times New Roman"/>
                        </w:rPr>
                      </w:pPr>
                    </w:p>
                    <w:p w:rsidR="00E05579" w:rsidRDefault="00E05579" w:rsidP="00E05579"/>
                  </w:txbxContent>
                </v:textbox>
              </v:shape>
            </w:pict>
          </mc:Fallback>
        </mc:AlternateContent>
      </w:r>
      <w:r w:rsidRPr="00E05579">
        <w:rPr>
          <w:noProof/>
          <w:sz w:val="28"/>
          <w:szCs w:val="28"/>
          <w:lang w:eastAsia="en-GB"/>
        </w:rPr>
        <w:drawing>
          <wp:inline distT="0" distB="0" distL="0" distR="0" wp14:anchorId="00F6C4CE" wp14:editId="15E8BCB9">
            <wp:extent cx="3797256" cy="2704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7085" cy="2732832"/>
                    </a:xfrm>
                    <a:prstGeom prst="rect">
                      <a:avLst/>
                    </a:prstGeom>
                    <a:noFill/>
                    <a:ln>
                      <a:noFill/>
                    </a:ln>
                  </pic:spPr>
                </pic:pic>
              </a:graphicData>
            </a:graphic>
          </wp:inline>
        </w:drawing>
      </w:r>
    </w:p>
    <w:p w:rsidR="00E05579" w:rsidRPr="00E05579" w:rsidRDefault="00E05579" w:rsidP="00F40410">
      <w:pPr>
        <w:rPr>
          <w:sz w:val="28"/>
          <w:szCs w:val="28"/>
        </w:rPr>
      </w:pPr>
    </w:p>
    <w:p w:rsidR="00E05579" w:rsidRPr="00E05579" w:rsidRDefault="00706AA8" w:rsidP="00E05579">
      <w:pPr>
        <w:rPr>
          <w:sz w:val="28"/>
          <w:szCs w:val="28"/>
        </w:rPr>
      </w:pPr>
      <w:r>
        <w:rPr>
          <w:sz w:val="28"/>
          <w:szCs w:val="28"/>
        </w:rPr>
        <w:t xml:space="preserve">This new Master Class has been developed </w:t>
      </w:r>
      <w:r w:rsidR="00E05579" w:rsidRPr="00E05579">
        <w:rPr>
          <w:sz w:val="28"/>
          <w:szCs w:val="28"/>
        </w:rPr>
        <w:t>to</w:t>
      </w:r>
      <w:r>
        <w:rPr>
          <w:sz w:val="28"/>
          <w:szCs w:val="28"/>
        </w:rPr>
        <w:t xml:space="preserve"> enable </w:t>
      </w:r>
      <w:proofErr w:type="spellStart"/>
      <w:r>
        <w:rPr>
          <w:sz w:val="28"/>
          <w:szCs w:val="28"/>
        </w:rPr>
        <w:t>DsPH</w:t>
      </w:r>
      <w:proofErr w:type="spellEnd"/>
      <w:r>
        <w:rPr>
          <w:sz w:val="28"/>
          <w:szCs w:val="28"/>
        </w:rPr>
        <w:t xml:space="preserve"> to meet with their peers and other leaders within local authorities to explore how to</w:t>
      </w:r>
      <w:r w:rsidR="00E05579" w:rsidRPr="00E05579">
        <w:rPr>
          <w:sz w:val="28"/>
          <w:szCs w:val="28"/>
        </w:rPr>
        <w:t xml:space="preserve">: </w:t>
      </w:r>
    </w:p>
    <w:p w:rsidR="00E05579" w:rsidRPr="00E05579" w:rsidRDefault="00E05579" w:rsidP="00E05579">
      <w:pPr>
        <w:numPr>
          <w:ilvl w:val="0"/>
          <w:numId w:val="1"/>
        </w:numPr>
        <w:contextualSpacing/>
        <w:rPr>
          <w:sz w:val="24"/>
          <w:szCs w:val="24"/>
        </w:rPr>
      </w:pPr>
      <w:r w:rsidRPr="00E05579">
        <w:rPr>
          <w:sz w:val="24"/>
          <w:szCs w:val="24"/>
        </w:rPr>
        <w:t>frame public health challenges and use appropriate language within the context of overarching local authority priorities;</w:t>
      </w:r>
    </w:p>
    <w:p w:rsidR="00E05579" w:rsidRPr="00E05579" w:rsidRDefault="00E05579" w:rsidP="00E05579">
      <w:pPr>
        <w:numPr>
          <w:ilvl w:val="0"/>
          <w:numId w:val="1"/>
        </w:numPr>
        <w:contextualSpacing/>
        <w:rPr>
          <w:sz w:val="24"/>
          <w:szCs w:val="24"/>
        </w:rPr>
      </w:pPr>
      <w:r w:rsidRPr="00E05579">
        <w:rPr>
          <w:sz w:val="24"/>
          <w:szCs w:val="24"/>
        </w:rPr>
        <w:t>effectively position health and wellbeing in the context of competing (and sometimes conflicting) policy agendas;</w:t>
      </w:r>
    </w:p>
    <w:p w:rsidR="00E05579" w:rsidRPr="00E05579" w:rsidRDefault="00E05579" w:rsidP="00E05579">
      <w:pPr>
        <w:numPr>
          <w:ilvl w:val="0"/>
          <w:numId w:val="1"/>
        </w:numPr>
        <w:contextualSpacing/>
        <w:rPr>
          <w:sz w:val="24"/>
          <w:szCs w:val="24"/>
        </w:rPr>
      </w:pPr>
      <w:proofErr w:type="gramStart"/>
      <w:r w:rsidRPr="00E05579">
        <w:rPr>
          <w:sz w:val="24"/>
          <w:szCs w:val="24"/>
        </w:rPr>
        <w:t>engage</w:t>
      </w:r>
      <w:proofErr w:type="gramEnd"/>
      <w:r w:rsidRPr="00E05579">
        <w:rPr>
          <w:sz w:val="24"/>
          <w:szCs w:val="24"/>
        </w:rPr>
        <w:t xml:space="preserve"> wider service and policy areas within the current economic and funding contexts.</w:t>
      </w:r>
    </w:p>
    <w:p w:rsidR="00F40410" w:rsidRDefault="00F40410" w:rsidP="00F40410">
      <w:pPr>
        <w:spacing w:after="0"/>
        <w:rPr>
          <w:b/>
          <w:sz w:val="28"/>
          <w:szCs w:val="28"/>
        </w:rPr>
      </w:pPr>
    </w:p>
    <w:p w:rsidR="00F40410" w:rsidRDefault="00F40410" w:rsidP="00E05579">
      <w:pPr>
        <w:spacing w:after="0"/>
        <w:jc w:val="center"/>
        <w:rPr>
          <w:b/>
          <w:sz w:val="28"/>
          <w:szCs w:val="28"/>
        </w:rPr>
      </w:pPr>
    </w:p>
    <w:p w:rsidR="00E05579" w:rsidRDefault="00E05579" w:rsidP="00E05579">
      <w:pPr>
        <w:spacing w:after="0"/>
        <w:jc w:val="center"/>
        <w:rPr>
          <w:b/>
          <w:sz w:val="28"/>
          <w:szCs w:val="28"/>
        </w:rPr>
      </w:pPr>
      <w:r w:rsidRPr="00E05579">
        <w:rPr>
          <w:b/>
          <w:sz w:val="28"/>
          <w:szCs w:val="28"/>
        </w:rPr>
        <w:t>Central London, 25</w:t>
      </w:r>
      <w:r w:rsidRPr="00E05579">
        <w:rPr>
          <w:b/>
          <w:sz w:val="28"/>
          <w:szCs w:val="28"/>
          <w:vertAlign w:val="superscript"/>
        </w:rPr>
        <w:t>th</w:t>
      </w:r>
      <w:r w:rsidRPr="00E05579">
        <w:rPr>
          <w:b/>
          <w:sz w:val="28"/>
          <w:szCs w:val="28"/>
        </w:rPr>
        <w:t xml:space="preserve"> February 2015</w:t>
      </w:r>
    </w:p>
    <w:p w:rsidR="00836CA9" w:rsidRPr="00E05579" w:rsidRDefault="00836CA9" w:rsidP="00E05579">
      <w:pPr>
        <w:spacing w:after="0"/>
        <w:jc w:val="center"/>
        <w:rPr>
          <w:b/>
          <w:sz w:val="28"/>
          <w:szCs w:val="28"/>
        </w:rPr>
      </w:pPr>
    </w:p>
    <w:p w:rsidR="00E05579" w:rsidRDefault="00706AA8" w:rsidP="00E05579">
      <w:pPr>
        <w:spacing w:after="0"/>
        <w:jc w:val="center"/>
        <w:rPr>
          <w:b/>
          <w:sz w:val="28"/>
          <w:szCs w:val="28"/>
        </w:rPr>
      </w:pPr>
      <w:r>
        <w:rPr>
          <w:b/>
          <w:sz w:val="28"/>
          <w:szCs w:val="28"/>
        </w:rPr>
        <w:t>Central</w:t>
      </w:r>
      <w:r w:rsidR="00E05579" w:rsidRPr="00E05579">
        <w:rPr>
          <w:b/>
          <w:sz w:val="28"/>
          <w:szCs w:val="28"/>
        </w:rPr>
        <w:t xml:space="preserve"> Manchester, 17</w:t>
      </w:r>
      <w:r w:rsidR="00E05579" w:rsidRPr="00E05579">
        <w:rPr>
          <w:b/>
          <w:sz w:val="28"/>
          <w:szCs w:val="28"/>
          <w:vertAlign w:val="superscript"/>
        </w:rPr>
        <w:t>th</w:t>
      </w:r>
      <w:r w:rsidR="00E05579" w:rsidRPr="00E05579">
        <w:rPr>
          <w:b/>
          <w:sz w:val="28"/>
          <w:szCs w:val="28"/>
        </w:rPr>
        <w:t xml:space="preserve"> March 2015</w:t>
      </w:r>
    </w:p>
    <w:p w:rsidR="00E05579" w:rsidRDefault="00E05579" w:rsidP="00E05579">
      <w:pPr>
        <w:spacing w:after="0"/>
        <w:jc w:val="center"/>
        <w:rPr>
          <w:b/>
          <w:sz w:val="28"/>
          <w:szCs w:val="28"/>
        </w:rPr>
      </w:pPr>
    </w:p>
    <w:p w:rsidR="00836CA9" w:rsidRPr="00E05579" w:rsidRDefault="00836CA9" w:rsidP="00E05579">
      <w:pPr>
        <w:spacing w:after="0"/>
        <w:jc w:val="center"/>
        <w:rPr>
          <w:b/>
          <w:sz w:val="28"/>
          <w:szCs w:val="28"/>
        </w:rPr>
      </w:pPr>
    </w:p>
    <w:p w:rsidR="00E05579" w:rsidRPr="00E05579" w:rsidRDefault="00E05579" w:rsidP="00E05579">
      <w:pPr>
        <w:spacing w:after="0"/>
        <w:jc w:val="center"/>
        <w:rPr>
          <w:sz w:val="28"/>
          <w:szCs w:val="28"/>
        </w:rPr>
      </w:pPr>
      <w:r w:rsidRPr="00E05579">
        <w:rPr>
          <w:sz w:val="28"/>
          <w:szCs w:val="28"/>
        </w:rPr>
        <w:t>£75.00 for ADPH Subscribing Organisations</w:t>
      </w:r>
    </w:p>
    <w:p w:rsidR="00E05579" w:rsidRDefault="00E05579" w:rsidP="00E05579">
      <w:pPr>
        <w:spacing w:after="0"/>
        <w:jc w:val="center"/>
        <w:rPr>
          <w:sz w:val="28"/>
          <w:szCs w:val="28"/>
        </w:rPr>
      </w:pPr>
      <w:r w:rsidRPr="00E05579">
        <w:rPr>
          <w:sz w:val="28"/>
          <w:szCs w:val="28"/>
        </w:rPr>
        <w:t>£150.00 for Non-Subscribing Organisations</w:t>
      </w:r>
    </w:p>
    <w:p w:rsidR="00F40410" w:rsidRDefault="00F40410" w:rsidP="00E05579">
      <w:pPr>
        <w:spacing w:after="0"/>
        <w:jc w:val="center"/>
        <w:rPr>
          <w:sz w:val="28"/>
          <w:szCs w:val="28"/>
        </w:rPr>
      </w:pPr>
    </w:p>
    <w:p w:rsidR="00F40410" w:rsidRPr="00E05579" w:rsidRDefault="00F40410" w:rsidP="00E05579">
      <w:pPr>
        <w:spacing w:after="0"/>
        <w:jc w:val="center"/>
        <w:rPr>
          <w:sz w:val="28"/>
          <w:szCs w:val="28"/>
        </w:rPr>
      </w:pPr>
    </w:p>
    <w:p w:rsidR="0052237D" w:rsidRDefault="00AD1551" w:rsidP="00E05579">
      <w:pPr>
        <w:jc w:val="both"/>
        <w:rPr>
          <w:rFonts w:ascii="Calibri" w:hAnsi="Calibri"/>
          <w:sz w:val="16"/>
          <w:szCs w:val="16"/>
        </w:rPr>
      </w:pPr>
    </w:p>
    <w:p w:rsidR="00B92F20" w:rsidRPr="00B92F20" w:rsidRDefault="00B92F20" w:rsidP="00B92F20">
      <w:pPr>
        <w:keepNext/>
        <w:keepLines/>
        <w:spacing w:after="0"/>
        <w:jc w:val="center"/>
        <w:outlineLvl w:val="0"/>
        <w:rPr>
          <w:rFonts w:asciiTheme="majorHAnsi" w:eastAsiaTheme="majorEastAsia" w:hAnsiTheme="majorHAnsi" w:cstheme="majorBidi"/>
          <w:b/>
          <w:sz w:val="36"/>
          <w:szCs w:val="36"/>
        </w:rPr>
      </w:pPr>
      <w:r w:rsidRPr="00B92F20">
        <w:rPr>
          <w:rFonts w:asciiTheme="majorHAnsi" w:eastAsiaTheme="majorEastAsia" w:hAnsiTheme="majorHAnsi" w:cstheme="majorBidi"/>
          <w:b/>
          <w:sz w:val="36"/>
          <w:szCs w:val="36"/>
        </w:rPr>
        <w:lastRenderedPageBreak/>
        <w:t>ADPH, PHE &amp; LGA Masterclass</w:t>
      </w:r>
    </w:p>
    <w:p w:rsidR="00B92F20" w:rsidRPr="00B92F20" w:rsidRDefault="00B92F20" w:rsidP="00B92F20">
      <w:pPr>
        <w:keepNext/>
        <w:keepLines/>
        <w:spacing w:after="0"/>
        <w:jc w:val="center"/>
        <w:outlineLvl w:val="0"/>
        <w:rPr>
          <w:rFonts w:asciiTheme="majorHAnsi" w:eastAsiaTheme="majorEastAsia" w:hAnsiTheme="majorHAnsi" w:cstheme="majorBidi"/>
          <w:b/>
          <w:sz w:val="44"/>
          <w:szCs w:val="44"/>
        </w:rPr>
      </w:pPr>
      <w:r w:rsidRPr="00B92F20">
        <w:rPr>
          <w:rFonts w:asciiTheme="majorHAnsi" w:eastAsiaTheme="majorEastAsia" w:hAnsiTheme="majorHAnsi" w:cstheme="majorBidi"/>
          <w:b/>
          <w:sz w:val="44"/>
          <w:szCs w:val="44"/>
        </w:rPr>
        <w:t>Influencing across the Council</w:t>
      </w:r>
    </w:p>
    <w:p w:rsidR="00B92F20" w:rsidRPr="00B92F20" w:rsidRDefault="00B92F20" w:rsidP="00B92F20">
      <w:pPr>
        <w:keepNext/>
        <w:keepLines/>
        <w:spacing w:after="0"/>
        <w:jc w:val="center"/>
        <w:outlineLvl w:val="0"/>
        <w:rPr>
          <w:rFonts w:asciiTheme="majorHAnsi" w:eastAsiaTheme="majorEastAsia" w:hAnsiTheme="majorHAnsi" w:cstheme="majorBidi"/>
          <w:b/>
          <w:sz w:val="40"/>
          <w:szCs w:val="40"/>
        </w:rPr>
      </w:pPr>
      <w:r w:rsidRPr="00B92F20">
        <w:rPr>
          <w:rFonts w:asciiTheme="majorHAnsi" w:eastAsiaTheme="majorEastAsia" w:hAnsiTheme="majorHAnsi" w:cstheme="majorBidi"/>
          <w:b/>
          <w:sz w:val="40"/>
          <w:szCs w:val="40"/>
        </w:rPr>
        <w:t>Health equity in all policies</w:t>
      </w:r>
    </w:p>
    <w:p w:rsidR="00B92F20" w:rsidRPr="00B92F20" w:rsidRDefault="00B92F20" w:rsidP="00B92F20">
      <w:pPr>
        <w:keepNext/>
        <w:keepLines/>
        <w:spacing w:after="0"/>
        <w:jc w:val="center"/>
        <w:outlineLvl w:val="0"/>
        <w:rPr>
          <w:rFonts w:asciiTheme="majorHAnsi" w:eastAsiaTheme="majorEastAsia" w:hAnsiTheme="majorHAnsi" w:cstheme="majorBidi"/>
          <w:b/>
        </w:rPr>
      </w:pPr>
    </w:p>
    <w:p w:rsidR="00B92F20" w:rsidRPr="00B92F20" w:rsidRDefault="00B92F20" w:rsidP="00B92F20">
      <w:pPr>
        <w:jc w:val="center"/>
        <w:rPr>
          <w:sz w:val="28"/>
          <w:szCs w:val="28"/>
        </w:rPr>
      </w:pPr>
      <w:r w:rsidRPr="00B92F20">
        <w:rPr>
          <w:sz w:val="28"/>
          <w:szCs w:val="28"/>
        </w:rPr>
        <w:t>Exploring how Directors of Public Health can influence across the whole council to reduce health inequalities</w:t>
      </w:r>
    </w:p>
    <w:p w:rsidR="00B92F20" w:rsidRPr="00B92F20" w:rsidRDefault="00B92F20" w:rsidP="00B92F20">
      <w:pPr>
        <w:spacing w:after="0"/>
        <w:jc w:val="center"/>
        <w:rPr>
          <w:b/>
          <w:sz w:val="28"/>
          <w:szCs w:val="28"/>
        </w:rPr>
      </w:pPr>
      <w:bookmarkStart w:id="0" w:name="_GoBack"/>
      <w:bookmarkEnd w:id="0"/>
      <w:r w:rsidRPr="00B92F20">
        <w:rPr>
          <w:b/>
          <w:sz w:val="28"/>
          <w:szCs w:val="28"/>
        </w:rPr>
        <w:t>Central London, 25</w:t>
      </w:r>
      <w:r w:rsidRPr="00B92F20">
        <w:rPr>
          <w:b/>
          <w:sz w:val="28"/>
          <w:szCs w:val="28"/>
          <w:vertAlign w:val="superscript"/>
        </w:rPr>
        <w:t>th</w:t>
      </w:r>
      <w:r w:rsidRPr="00B92F20">
        <w:rPr>
          <w:b/>
          <w:sz w:val="28"/>
          <w:szCs w:val="28"/>
        </w:rPr>
        <w:t xml:space="preserve"> February 2015</w:t>
      </w:r>
    </w:p>
    <w:p w:rsidR="00B92F20" w:rsidRPr="00B92F20" w:rsidRDefault="00B92F20" w:rsidP="00B92F20">
      <w:pPr>
        <w:spacing w:after="0"/>
        <w:jc w:val="center"/>
        <w:rPr>
          <w:b/>
          <w:sz w:val="28"/>
          <w:szCs w:val="28"/>
        </w:rPr>
      </w:pPr>
      <w:r w:rsidRPr="00B92F20">
        <w:rPr>
          <w:b/>
          <w:sz w:val="28"/>
          <w:szCs w:val="28"/>
        </w:rPr>
        <w:t>Central Manchester, 17</w:t>
      </w:r>
      <w:r w:rsidRPr="00B92F20">
        <w:rPr>
          <w:b/>
          <w:sz w:val="28"/>
          <w:szCs w:val="28"/>
          <w:vertAlign w:val="superscript"/>
        </w:rPr>
        <w:t>th</w:t>
      </w:r>
      <w:r w:rsidRPr="00B92F20">
        <w:rPr>
          <w:b/>
          <w:sz w:val="28"/>
          <w:szCs w:val="28"/>
        </w:rPr>
        <w:t xml:space="preserve"> March 2015</w:t>
      </w:r>
    </w:p>
    <w:p w:rsidR="00B92F20" w:rsidRPr="00B92F20" w:rsidRDefault="00B92F20" w:rsidP="00B92F20">
      <w:pPr>
        <w:spacing w:after="0"/>
        <w:jc w:val="center"/>
        <w:rPr>
          <w:b/>
          <w:sz w:val="18"/>
          <w:szCs w:val="18"/>
        </w:rPr>
      </w:pPr>
    </w:p>
    <w:p w:rsidR="00B92F20" w:rsidRPr="00B92F20" w:rsidRDefault="00B92F20" w:rsidP="00B92F20">
      <w:pPr>
        <w:spacing w:after="0"/>
        <w:jc w:val="center"/>
        <w:rPr>
          <w:sz w:val="28"/>
          <w:szCs w:val="28"/>
        </w:rPr>
      </w:pPr>
      <w:r w:rsidRPr="00B92F20">
        <w:rPr>
          <w:sz w:val="28"/>
          <w:szCs w:val="28"/>
        </w:rPr>
        <w:t xml:space="preserve">£75.00 for ADPH Subscribing Organisations </w:t>
      </w:r>
    </w:p>
    <w:p w:rsidR="00B92F20" w:rsidRPr="00B92F20" w:rsidRDefault="00B92F20" w:rsidP="00B92F20">
      <w:pPr>
        <w:spacing w:after="0"/>
        <w:jc w:val="center"/>
      </w:pPr>
      <w:r w:rsidRPr="00B92F20">
        <w:t>(</w:t>
      </w:r>
      <w:proofErr w:type="gramStart"/>
      <w:r w:rsidRPr="00B92F20">
        <w:t>maximum</w:t>
      </w:r>
      <w:proofErr w:type="gramEnd"/>
      <w:r w:rsidRPr="00B92F20">
        <w:t xml:space="preserve"> of one place per organisation)</w:t>
      </w:r>
    </w:p>
    <w:p w:rsidR="00B92F20" w:rsidRPr="00B92F20" w:rsidRDefault="00B92F20" w:rsidP="00B92F20">
      <w:pPr>
        <w:spacing w:after="0"/>
        <w:jc w:val="center"/>
        <w:rPr>
          <w:sz w:val="28"/>
          <w:szCs w:val="28"/>
        </w:rPr>
      </w:pPr>
      <w:r w:rsidRPr="00B92F20">
        <w:rPr>
          <w:sz w:val="28"/>
          <w:szCs w:val="28"/>
        </w:rPr>
        <w:t>£150.00 for Non-Subscribing Organisations</w:t>
      </w:r>
    </w:p>
    <w:p w:rsidR="00B92F20" w:rsidRPr="00B92F20" w:rsidRDefault="00B92F20" w:rsidP="00B92F20">
      <w:pPr>
        <w:spacing w:after="0" w:line="240" w:lineRule="auto"/>
        <w:jc w:val="both"/>
        <w:rPr>
          <w:rFonts w:ascii="Arial" w:eastAsia="Times New Roman" w:hAnsi="Arial" w:cs="Arial"/>
          <w:b/>
          <w:bCs/>
          <w:szCs w:val="20"/>
        </w:rPr>
      </w:pPr>
    </w:p>
    <w:p w:rsidR="009F3937" w:rsidRDefault="00D447E8" w:rsidP="00B92F20">
      <w:pPr>
        <w:spacing w:after="0" w:line="240" w:lineRule="auto"/>
        <w:jc w:val="center"/>
        <w:rPr>
          <w:rFonts w:ascii="Arial" w:eastAsia="Times New Roman" w:hAnsi="Arial" w:cs="Arial"/>
          <w:b/>
          <w:lang w:val="fr-FR"/>
        </w:rPr>
      </w:pPr>
      <w:r>
        <w:rPr>
          <w:rFonts w:ascii="Arial" w:eastAsia="Times New Roman" w:hAnsi="Arial" w:cs="Arial"/>
          <w:b/>
          <w:bCs/>
          <w:szCs w:val="20"/>
        </w:rPr>
        <w:t xml:space="preserve">Please note that we have received significant interest in the Master Classes – to request reservation of a place </w:t>
      </w:r>
      <w:r w:rsidR="00B92F20" w:rsidRPr="00B92F20">
        <w:rPr>
          <w:rFonts w:ascii="Arial" w:eastAsia="Times New Roman" w:hAnsi="Arial" w:cs="Arial"/>
          <w:b/>
        </w:rPr>
        <w:t xml:space="preserve">please complete this form as soon as possible and </w:t>
      </w:r>
      <w:r w:rsidR="00B92F20" w:rsidRPr="00B92F20">
        <w:rPr>
          <w:rFonts w:ascii="Arial" w:eastAsia="Times New Roman" w:hAnsi="Arial" w:cs="Arial"/>
          <w:b/>
          <w:lang w:val="fr-FR"/>
        </w:rPr>
        <w:t>email to:</w:t>
      </w:r>
    </w:p>
    <w:p w:rsidR="00B92F20" w:rsidRPr="00B92F20" w:rsidRDefault="00B92F20" w:rsidP="00B92F20">
      <w:pPr>
        <w:spacing w:after="0" w:line="240" w:lineRule="auto"/>
        <w:jc w:val="center"/>
        <w:rPr>
          <w:rFonts w:ascii="Arial" w:eastAsia="Times New Roman" w:hAnsi="Arial" w:cs="Arial"/>
          <w:b/>
          <w:lang w:val="fr-FR"/>
        </w:rPr>
      </w:pPr>
      <w:r w:rsidRPr="00B92F20">
        <w:rPr>
          <w:rFonts w:ascii="Arial" w:eastAsia="Times New Roman" w:hAnsi="Arial" w:cs="Arial"/>
          <w:b/>
          <w:lang w:val="fr-FR"/>
        </w:rPr>
        <w:t xml:space="preserve"> </w:t>
      </w:r>
      <w:hyperlink r:id="rId9" w:history="1">
        <w:r w:rsidRPr="00B92F20">
          <w:rPr>
            <w:rFonts w:ascii="Arial" w:eastAsia="Times New Roman" w:hAnsi="Arial" w:cs="Arial"/>
            <w:b/>
            <w:color w:val="0000FF"/>
            <w:u w:val="single"/>
            <w:lang w:val="fr-FR"/>
          </w:rPr>
          <w:t>enquiries@adph.org.uk</w:t>
        </w:r>
      </w:hyperlink>
    </w:p>
    <w:p w:rsidR="00B92F20" w:rsidRDefault="00B92F20" w:rsidP="00B92F20">
      <w:pPr>
        <w:spacing w:after="0" w:line="240" w:lineRule="auto"/>
        <w:jc w:val="both"/>
        <w:rPr>
          <w:rFonts w:ascii="Arial" w:eastAsia="Times New Roman" w:hAnsi="Arial" w:cs="Arial"/>
          <w:b/>
          <w:bCs/>
        </w:rPr>
      </w:pPr>
    </w:p>
    <w:p w:rsidR="00D447E8" w:rsidRDefault="009F3937" w:rsidP="009F3937">
      <w:pPr>
        <w:spacing w:after="0" w:line="240" w:lineRule="auto"/>
        <w:jc w:val="center"/>
        <w:rPr>
          <w:rFonts w:ascii="Arial" w:eastAsia="Times New Roman" w:hAnsi="Arial" w:cs="Arial"/>
          <w:b/>
          <w:bCs/>
          <w:szCs w:val="20"/>
        </w:rPr>
      </w:pPr>
      <w:r>
        <w:rPr>
          <w:rFonts w:ascii="Arial" w:eastAsia="Times New Roman" w:hAnsi="Arial" w:cs="Arial"/>
          <w:b/>
          <w:bCs/>
          <w:szCs w:val="20"/>
        </w:rPr>
        <w:t>We will confirm if you have a place as soon as is possible</w:t>
      </w:r>
    </w:p>
    <w:p w:rsidR="009F3937" w:rsidRPr="00B92F20" w:rsidRDefault="009F3937" w:rsidP="009F3937">
      <w:pPr>
        <w:spacing w:after="0" w:line="240" w:lineRule="auto"/>
        <w:jc w:val="center"/>
        <w:rPr>
          <w:rFonts w:ascii="Arial" w:eastAsia="Times New Roman" w:hAnsi="Arial" w:cs="Arial"/>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71"/>
      </w:tblGrid>
      <w:tr w:rsidR="00B92F20" w:rsidRPr="00B92F20" w:rsidTr="006949A9">
        <w:tc>
          <w:tcPr>
            <w:tcW w:w="2268" w:type="dxa"/>
          </w:tcPr>
          <w:p w:rsidR="00B92F20" w:rsidRPr="00B92F20" w:rsidRDefault="00B92F20" w:rsidP="00B92F20">
            <w:pPr>
              <w:spacing w:before="60" w:after="60" w:line="240" w:lineRule="auto"/>
              <w:rPr>
                <w:rFonts w:ascii="Arial" w:eastAsia="Times New Roman" w:hAnsi="Arial" w:cs="Arial"/>
              </w:rPr>
            </w:pPr>
            <w:r w:rsidRPr="00B92F20">
              <w:rPr>
                <w:rFonts w:ascii="Arial" w:eastAsia="Times New Roman" w:hAnsi="Arial" w:cs="Arial"/>
              </w:rPr>
              <w:t>Name:</w:t>
            </w:r>
          </w:p>
        </w:tc>
        <w:tc>
          <w:tcPr>
            <w:tcW w:w="7371" w:type="dxa"/>
          </w:tcPr>
          <w:p w:rsidR="00B92F20" w:rsidRPr="00B92F20" w:rsidRDefault="00B92F20" w:rsidP="00B92F20">
            <w:pPr>
              <w:spacing w:before="60" w:after="60" w:line="240" w:lineRule="auto"/>
              <w:rPr>
                <w:rFonts w:ascii="Arial" w:eastAsia="Times New Roman" w:hAnsi="Arial" w:cs="Arial"/>
              </w:rPr>
            </w:pPr>
          </w:p>
        </w:tc>
      </w:tr>
      <w:tr w:rsidR="00B92F20" w:rsidRPr="00B92F20" w:rsidTr="006949A9">
        <w:tc>
          <w:tcPr>
            <w:tcW w:w="2268" w:type="dxa"/>
          </w:tcPr>
          <w:p w:rsidR="00B92F20" w:rsidRPr="00B92F20" w:rsidRDefault="00B92F20" w:rsidP="00B92F20">
            <w:pPr>
              <w:spacing w:before="60" w:after="60" w:line="240" w:lineRule="auto"/>
              <w:rPr>
                <w:rFonts w:ascii="Arial" w:eastAsia="Times New Roman" w:hAnsi="Arial" w:cs="Arial"/>
              </w:rPr>
            </w:pPr>
            <w:r w:rsidRPr="00B92F20">
              <w:rPr>
                <w:rFonts w:ascii="Arial" w:eastAsia="Times New Roman" w:hAnsi="Arial" w:cs="Arial"/>
              </w:rPr>
              <w:t>Job Title:</w:t>
            </w:r>
          </w:p>
        </w:tc>
        <w:tc>
          <w:tcPr>
            <w:tcW w:w="7371" w:type="dxa"/>
          </w:tcPr>
          <w:p w:rsidR="00B92F20" w:rsidRPr="00B92F20" w:rsidRDefault="00B92F20" w:rsidP="00B92F20">
            <w:pPr>
              <w:spacing w:before="60" w:after="60" w:line="240" w:lineRule="auto"/>
              <w:rPr>
                <w:rFonts w:ascii="Arial" w:eastAsia="Times New Roman" w:hAnsi="Arial" w:cs="Arial"/>
              </w:rPr>
            </w:pPr>
          </w:p>
        </w:tc>
      </w:tr>
      <w:tr w:rsidR="00B92F20" w:rsidRPr="00B92F20" w:rsidTr="006949A9">
        <w:tc>
          <w:tcPr>
            <w:tcW w:w="2268" w:type="dxa"/>
          </w:tcPr>
          <w:p w:rsidR="00B92F20" w:rsidRPr="00B92F20" w:rsidRDefault="00B92F20" w:rsidP="00B92F20">
            <w:pPr>
              <w:spacing w:before="60" w:after="60" w:line="240" w:lineRule="auto"/>
              <w:rPr>
                <w:rFonts w:ascii="Arial" w:eastAsia="Times New Roman" w:hAnsi="Arial" w:cs="Arial"/>
              </w:rPr>
            </w:pPr>
            <w:r w:rsidRPr="00B92F20">
              <w:rPr>
                <w:rFonts w:ascii="Arial" w:eastAsia="Times New Roman" w:hAnsi="Arial" w:cs="Arial"/>
              </w:rPr>
              <w:t>Organisation:</w:t>
            </w:r>
          </w:p>
        </w:tc>
        <w:tc>
          <w:tcPr>
            <w:tcW w:w="7371" w:type="dxa"/>
          </w:tcPr>
          <w:p w:rsidR="00B92F20" w:rsidRPr="00B92F20" w:rsidRDefault="00B92F20" w:rsidP="00B92F20">
            <w:pPr>
              <w:spacing w:before="60" w:after="60" w:line="240" w:lineRule="auto"/>
              <w:rPr>
                <w:rFonts w:ascii="Arial" w:eastAsia="Times New Roman" w:hAnsi="Arial" w:cs="Arial"/>
              </w:rPr>
            </w:pPr>
          </w:p>
        </w:tc>
      </w:tr>
      <w:tr w:rsidR="00B92F20" w:rsidRPr="00B92F20" w:rsidTr="006949A9">
        <w:tc>
          <w:tcPr>
            <w:tcW w:w="2268" w:type="dxa"/>
          </w:tcPr>
          <w:p w:rsidR="00B92F20" w:rsidRPr="00B92F20" w:rsidRDefault="00B92F20" w:rsidP="00B92F20">
            <w:pPr>
              <w:spacing w:before="60" w:after="60" w:line="240" w:lineRule="auto"/>
              <w:rPr>
                <w:rFonts w:ascii="Arial" w:eastAsia="Times New Roman" w:hAnsi="Arial" w:cs="Arial"/>
              </w:rPr>
            </w:pPr>
            <w:r w:rsidRPr="00B92F20">
              <w:rPr>
                <w:rFonts w:ascii="Arial" w:eastAsia="Times New Roman" w:hAnsi="Arial" w:cs="Arial"/>
              </w:rPr>
              <w:t>Address:</w:t>
            </w:r>
          </w:p>
          <w:p w:rsidR="00B92F20" w:rsidRPr="00B92F20" w:rsidRDefault="00B92F20" w:rsidP="00B92F20">
            <w:pPr>
              <w:spacing w:before="60" w:after="60" w:line="240" w:lineRule="auto"/>
              <w:rPr>
                <w:rFonts w:ascii="Arial" w:eastAsia="Times New Roman" w:hAnsi="Arial" w:cs="Arial"/>
              </w:rPr>
            </w:pPr>
          </w:p>
        </w:tc>
        <w:tc>
          <w:tcPr>
            <w:tcW w:w="7371" w:type="dxa"/>
          </w:tcPr>
          <w:p w:rsidR="00B92F20" w:rsidRPr="00B92F20" w:rsidRDefault="00B92F20" w:rsidP="00B92F20">
            <w:pPr>
              <w:spacing w:before="60" w:after="60" w:line="240" w:lineRule="auto"/>
              <w:rPr>
                <w:rFonts w:ascii="Arial" w:eastAsia="Times New Roman" w:hAnsi="Arial" w:cs="Arial"/>
              </w:rPr>
            </w:pPr>
          </w:p>
        </w:tc>
      </w:tr>
      <w:tr w:rsidR="00B92F20" w:rsidRPr="00B92F20" w:rsidTr="006949A9">
        <w:tc>
          <w:tcPr>
            <w:tcW w:w="2268" w:type="dxa"/>
          </w:tcPr>
          <w:p w:rsidR="00B92F20" w:rsidRPr="00B92F20" w:rsidRDefault="00B92F20" w:rsidP="00B92F20">
            <w:pPr>
              <w:tabs>
                <w:tab w:val="center" w:pos="4153"/>
                <w:tab w:val="right" w:pos="8306"/>
              </w:tabs>
              <w:spacing w:before="60" w:after="60" w:line="240" w:lineRule="auto"/>
              <w:rPr>
                <w:rFonts w:ascii="Arial" w:eastAsia="Times New Roman" w:hAnsi="Arial" w:cs="Arial"/>
              </w:rPr>
            </w:pPr>
            <w:r w:rsidRPr="00B92F20">
              <w:rPr>
                <w:rFonts w:ascii="Arial" w:eastAsia="Times New Roman" w:hAnsi="Arial" w:cs="Arial"/>
              </w:rPr>
              <w:t>Email:</w:t>
            </w:r>
          </w:p>
        </w:tc>
        <w:tc>
          <w:tcPr>
            <w:tcW w:w="7371" w:type="dxa"/>
          </w:tcPr>
          <w:p w:rsidR="00B92F20" w:rsidRPr="00B92F20" w:rsidRDefault="00B92F20" w:rsidP="00B92F20">
            <w:pPr>
              <w:spacing w:before="60" w:after="60" w:line="240" w:lineRule="auto"/>
              <w:rPr>
                <w:rFonts w:ascii="Arial" w:eastAsia="Times New Roman" w:hAnsi="Arial" w:cs="Arial"/>
              </w:rPr>
            </w:pPr>
          </w:p>
        </w:tc>
      </w:tr>
      <w:tr w:rsidR="00B92F20" w:rsidRPr="00B92F20" w:rsidTr="006949A9">
        <w:tc>
          <w:tcPr>
            <w:tcW w:w="2268" w:type="dxa"/>
          </w:tcPr>
          <w:p w:rsidR="00B92F20" w:rsidRPr="00B92F20" w:rsidRDefault="00B92F20" w:rsidP="00B92F20">
            <w:pPr>
              <w:tabs>
                <w:tab w:val="center" w:pos="4153"/>
                <w:tab w:val="right" w:pos="8306"/>
              </w:tabs>
              <w:spacing w:before="60" w:after="60" w:line="240" w:lineRule="auto"/>
              <w:rPr>
                <w:rFonts w:ascii="Arial" w:eastAsia="Times New Roman" w:hAnsi="Arial" w:cs="Arial"/>
              </w:rPr>
            </w:pPr>
            <w:r w:rsidRPr="00B92F20">
              <w:rPr>
                <w:rFonts w:ascii="Arial" w:eastAsia="Times New Roman" w:hAnsi="Arial" w:cs="Arial"/>
              </w:rPr>
              <w:t xml:space="preserve">Phone no.: </w:t>
            </w:r>
          </w:p>
        </w:tc>
        <w:tc>
          <w:tcPr>
            <w:tcW w:w="7371" w:type="dxa"/>
          </w:tcPr>
          <w:p w:rsidR="00B92F20" w:rsidRPr="00B92F20" w:rsidRDefault="00B92F20" w:rsidP="00B92F20">
            <w:pPr>
              <w:spacing w:before="60" w:after="60" w:line="240" w:lineRule="auto"/>
              <w:rPr>
                <w:rFonts w:ascii="Arial" w:eastAsia="Times New Roman" w:hAnsi="Arial" w:cs="Arial"/>
              </w:rPr>
            </w:pPr>
          </w:p>
        </w:tc>
      </w:tr>
      <w:tr w:rsidR="00B92F20" w:rsidRPr="00B92F20" w:rsidTr="006949A9">
        <w:tc>
          <w:tcPr>
            <w:tcW w:w="2268" w:type="dxa"/>
          </w:tcPr>
          <w:p w:rsidR="00B92F20" w:rsidRPr="00B92F20" w:rsidRDefault="00B92F20" w:rsidP="00B92F20">
            <w:pPr>
              <w:tabs>
                <w:tab w:val="center" w:pos="4153"/>
                <w:tab w:val="right" w:pos="8306"/>
              </w:tabs>
              <w:spacing w:before="60" w:after="60" w:line="240" w:lineRule="auto"/>
              <w:rPr>
                <w:rFonts w:ascii="Arial" w:eastAsia="Times New Roman" w:hAnsi="Arial" w:cs="Arial"/>
              </w:rPr>
            </w:pPr>
            <w:r w:rsidRPr="00B92F20">
              <w:rPr>
                <w:rFonts w:ascii="Arial" w:eastAsia="Times New Roman" w:hAnsi="Arial" w:cs="Arial"/>
              </w:rPr>
              <w:t>Which Masterclass would you like to attend? (Manchester or London)</w:t>
            </w:r>
          </w:p>
        </w:tc>
        <w:tc>
          <w:tcPr>
            <w:tcW w:w="7371" w:type="dxa"/>
          </w:tcPr>
          <w:p w:rsidR="00B92F20" w:rsidRPr="00B92F20" w:rsidRDefault="00B92F20" w:rsidP="00B92F20">
            <w:pPr>
              <w:spacing w:before="60" w:after="60" w:line="240" w:lineRule="auto"/>
              <w:rPr>
                <w:rFonts w:ascii="Arial" w:eastAsia="Times New Roman" w:hAnsi="Arial" w:cs="Arial"/>
              </w:rPr>
            </w:pPr>
          </w:p>
        </w:tc>
      </w:tr>
      <w:tr w:rsidR="00B92F20" w:rsidRPr="00B92F20" w:rsidTr="006949A9">
        <w:tc>
          <w:tcPr>
            <w:tcW w:w="2268" w:type="dxa"/>
          </w:tcPr>
          <w:p w:rsidR="00B92F20" w:rsidRPr="00B92F20" w:rsidRDefault="00B92F20" w:rsidP="00B92F20">
            <w:pPr>
              <w:tabs>
                <w:tab w:val="center" w:pos="4153"/>
                <w:tab w:val="right" w:pos="8306"/>
              </w:tabs>
              <w:spacing w:before="60" w:after="60" w:line="240" w:lineRule="auto"/>
              <w:rPr>
                <w:rFonts w:ascii="Arial" w:eastAsia="Times New Roman" w:hAnsi="Arial" w:cs="Arial"/>
              </w:rPr>
            </w:pPr>
            <w:r w:rsidRPr="00B92F20">
              <w:rPr>
                <w:rFonts w:ascii="Arial" w:eastAsia="Times New Roman" w:hAnsi="Arial" w:cs="Arial"/>
              </w:rPr>
              <w:t>Dietary or Disability Requirements:</w:t>
            </w:r>
          </w:p>
        </w:tc>
        <w:tc>
          <w:tcPr>
            <w:tcW w:w="7371" w:type="dxa"/>
          </w:tcPr>
          <w:p w:rsidR="00B92F20" w:rsidRPr="00B92F20" w:rsidRDefault="00B92F20" w:rsidP="00B92F20">
            <w:pPr>
              <w:spacing w:before="60" w:after="60" w:line="240" w:lineRule="auto"/>
              <w:rPr>
                <w:rFonts w:ascii="Arial" w:eastAsia="Times New Roman" w:hAnsi="Arial" w:cs="Arial"/>
              </w:rPr>
            </w:pPr>
          </w:p>
        </w:tc>
      </w:tr>
      <w:tr w:rsidR="00B92F20" w:rsidRPr="00B92F20" w:rsidTr="006949A9">
        <w:tc>
          <w:tcPr>
            <w:tcW w:w="9639" w:type="dxa"/>
            <w:gridSpan w:val="2"/>
          </w:tcPr>
          <w:p w:rsidR="00B92F20" w:rsidRPr="00B92F20" w:rsidRDefault="00B92F20" w:rsidP="00B92F20">
            <w:pPr>
              <w:spacing w:before="60" w:after="60" w:line="240" w:lineRule="auto"/>
              <w:rPr>
                <w:rFonts w:ascii="Arial" w:eastAsia="Times New Roman" w:hAnsi="Arial" w:cs="Arial"/>
              </w:rPr>
            </w:pPr>
            <w:r w:rsidRPr="00B92F20">
              <w:rPr>
                <w:rFonts w:ascii="Arial" w:eastAsia="Times New Roman" w:hAnsi="Arial" w:cs="Arial"/>
              </w:rPr>
              <w:t xml:space="preserve">By completing and returning this form I confirm acceptance of the fee </w:t>
            </w:r>
          </w:p>
          <w:p w:rsidR="00B92F20" w:rsidRPr="00B92F20" w:rsidRDefault="00B92F20" w:rsidP="00B92F20">
            <w:pPr>
              <w:spacing w:before="60" w:after="60" w:line="240" w:lineRule="auto"/>
              <w:rPr>
                <w:rFonts w:ascii="Arial" w:eastAsia="Times New Roman" w:hAnsi="Arial" w:cs="Arial"/>
              </w:rPr>
            </w:pPr>
            <w:r w:rsidRPr="00B92F20">
              <w:rPr>
                <w:rFonts w:ascii="Arial" w:eastAsia="Times New Roman" w:hAnsi="Arial" w:cs="Arial"/>
                <w:i/>
              </w:rPr>
              <w:t>(Upon receipt of this form, ADPH will confirm your booking and the fee that will apply)</w:t>
            </w:r>
          </w:p>
        </w:tc>
      </w:tr>
    </w:tbl>
    <w:p w:rsidR="00B92F20" w:rsidRPr="00B92F20" w:rsidRDefault="00B92F20" w:rsidP="00B92F20">
      <w:pPr>
        <w:spacing w:after="60" w:line="240" w:lineRule="auto"/>
        <w:jc w:val="both"/>
        <w:rPr>
          <w:rFonts w:ascii="Arial" w:eastAsia="Times New Roman" w:hAnsi="Arial" w:cs="Arial"/>
          <w:b/>
          <w:sz w:val="16"/>
          <w:szCs w:val="16"/>
        </w:rPr>
      </w:pPr>
    </w:p>
    <w:p w:rsidR="00B92F20" w:rsidRPr="00B92F20" w:rsidRDefault="00B92F20" w:rsidP="00B92F20">
      <w:pPr>
        <w:spacing w:after="60" w:line="240" w:lineRule="auto"/>
        <w:jc w:val="both"/>
        <w:rPr>
          <w:rFonts w:ascii="Arial" w:eastAsia="Times New Roman" w:hAnsi="Arial" w:cs="Arial"/>
          <w:sz w:val="20"/>
          <w:szCs w:val="20"/>
        </w:rPr>
      </w:pPr>
      <w:r w:rsidRPr="00B92F20">
        <w:rPr>
          <w:rFonts w:ascii="Arial" w:eastAsia="Times New Roman" w:hAnsi="Arial" w:cs="Arial"/>
          <w:b/>
          <w:sz w:val="20"/>
          <w:szCs w:val="20"/>
        </w:rPr>
        <w:t>Terms and conditions</w:t>
      </w:r>
      <w:r w:rsidRPr="00B92F20">
        <w:rPr>
          <w:rFonts w:ascii="Arial" w:eastAsia="Times New Roman" w:hAnsi="Arial" w:cs="Arial"/>
          <w:sz w:val="20"/>
          <w:szCs w:val="20"/>
        </w:rPr>
        <w:t xml:space="preserve"> </w:t>
      </w:r>
    </w:p>
    <w:p w:rsidR="00B92F20" w:rsidRPr="00B92F20" w:rsidRDefault="00B92F20" w:rsidP="00B92F20">
      <w:pPr>
        <w:spacing w:after="60" w:line="240" w:lineRule="auto"/>
        <w:jc w:val="both"/>
        <w:rPr>
          <w:rFonts w:ascii="Arial" w:eastAsia="Times New Roman" w:hAnsi="Arial" w:cs="Arial"/>
          <w:b/>
          <w:sz w:val="20"/>
          <w:szCs w:val="20"/>
        </w:rPr>
      </w:pPr>
      <w:r w:rsidRPr="00B92F20">
        <w:rPr>
          <w:rFonts w:ascii="Arial" w:eastAsia="Times New Roman" w:hAnsi="Arial" w:cs="Arial"/>
          <w:sz w:val="20"/>
          <w:szCs w:val="20"/>
        </w:rPr>
        <w:t>Please note that your name, job title, organisation and email address will be included in the delegate pack.</w:t>
      </w:r>
    </w:p>
    <w:p w:rsidR="00B92F20" w:rsidRPr="00B92F20" w:rsidRDefault="00B92F20" w:rsidP="00B92F20">
      <w:pPr>
        <w:spacing w:after="0" w:line="240" w:lineRule="auto"/>
        <w:jc w:val="both"/>
        <w:rPr>
          <w:rFonts w:ascii="Arial" w:eastAsia="Times New Roman" w:hAnsi="Arial" w:cs="Arial"/>
          <w:sz w:val="20"/>
          <w:szCs w:val="20"/>
        </w:rPr>
      </w:pPr>
      <w:r w:rsidRPr="00B92F20">
        <w:rPr>
          <w:rFonts w:ascii="Arial" w:eastAsia="Times New Roman" w:hAnsi="Arial" w:cs="Arial"/>
          <w:b/>
          <w:bCs/>
          <w:sz w:val="20"/>
          <w:szCs w:val="20"/>
        </w:rPr>
        <w:t>Registrations:</w:t>
      </w:r>
      <w:r w:rsidRPr="00B92F20">
        <w:rPr>
          <w:rFonts w:ascii="Arial" w:eastAsia="Times New Roman" w:hAnsi="Arial" w:cs="Arial"/>
          <w:sz w:val="20"/>
          <w:szCs w:val="20"/>
        </w:rPr>
        <w:t xml:space="preserve"> All registrations must be in writing. In the event of over subscription to the Masterclass, ADPH reserves the right to restrict registration to one place per organisation.</w:t>
      </w:r>
    </w:p>
    <w:p w:rsidR="00B92F20" w:rsidRPr="00B92F20" w:rsidRDefault="00B92F20" w:rsidP="00B92F20">
      <w:pPr>
        <w:spacing w:before="60" w:after="60" w:line="240" w:lineRule="auto"/>
        <w:jc w:val="both"/>
        <w:rPr>
          <w:rFonts w:ascii="Arial" w:eastAsia="Times New Roman" w:hAnsi="Arial" w:cs="Arial"/>
          <w:sz w:val="20"/>
          <w:szCs w:val="20"/>
        </w:rPr>
      </w:pPr>
      <w:r w:rsidRPr="00B92F20">
        <w:rPr>
          <w:rFonts w:ascii="Arial" w:eastAsia="Times New Roman" w:hAnsi="Arial" w:cs="Arial"/>
          <w:b/>
          <w:bCs/>
          <w:sz w:val="20"/>
          <w:szCs w:val="20"/>
        </w:rPr>
        <w:t>Joining Instructions:</w:t>
      </w:r>
      <w:r w:rsidRPr="00B92F20">
        <w:rPr>
          <w:rFonts w:ascii="Arial" w:eastAsia="Times New Roman" w:hAnsi="Arial" w:cs="Arial"/>
          <w:sz w:val="20"/>
          <w:szCs w:val="20"/>
        </w:rPr>
        <w:t xml:space="preserve"> A final programme and joining instructions will be sent by email at least one week before the event. </w:t>
      </w:r>
    </w:p>
    <w:p w:rsidR="00B92F20" w:rsidRPr="00B92F20" w:rsidRDefault="00B92F20" w:rsidP="00B92F20">
      <w:pPr>
        <w:spacing w:after="60" w:line="240" w:lineRule="auto"/>
        <w:jc w:val="both"/>
        <w:rPr>
          <w:rFonts w:ascii="Arial" w:eastAsia="Times New Roman" w:hAnsi="Arial" w:cs="Arial"/>
          <w:bCs/>
          <w:sz w:val="20"/>
          <w:szCs w:val="20"/>
        </w:rPr>
      </w:pPr>
      <w:r w:rsidRPr="00B92F20">
        <w:rPr>
          <w:rFonts w:ascii="Arial" w:eastAsia="Times New Roman" w:hAnsi="Arial" w:cs="Arial"/>
          <w:b/>
          <w:sz w:val="20"/>
          <w:szCs w:val="20"/>
        </w:rPr>
        <w:t>Cancellation/non-attendance</w:t>
      </w:r>
      <w:r w:rsidRPr="00B92F20">
        <w:rPr>
          <w:rFonts w:ascii="Arial" w:eastAsia="Times New Roman" w:hAnsi="Arial" w:cs="Arial"/>
          <w:sz w:val="20"/>
          <w:szCs w:val="20"/>
        </w:rPr>
        <w:t xml:space="preserve">: </w:t>
      </w:r>
      <w:r w:rsidRPr="00B92F20">
        <w:rPr>
          <w:rFonts w:ascii="Arial" w:eastAsia="Times New Roman" w:hAnsi="Arial" w:cs="Arial"/>
          <w:bCs/>
          <w:sz w:val="20"/>
          <w:szCs w:val="20"/>
        </w:rPr>
        <w:t>All cancellations must be made in writing to the ADPH. Late cancellations and non-attendance without prior notification will incur the chargeable fee (as detailed above). Eligible substitute delegates are welcome at any stage, but should be notified in writing to the ADPH.</w:t>
      </w:r>
    </w:p>
    <w:p w:rsidR="00B92F20" w:rsidRPr="00B92F20" w:rsidRDefault="00B92F20" w:rsidP="00B92F20">
      <w:pPr>
        <w:spacing w:after="0" w:line="240" w:lineRule="auto"/>
        <w:jc w:val="both"/>
        <w:rPr>
          <w:rFonts w:ascii="Arial" w:eastAsia="Times New Roman" w:hAnsi="Arial" w:cs="Arial"/>
          <w:sz w:val="20"/>
          <w:szCs w:val="20"/>
        </w:rPr>
      </w:pPr>
      <w:r w:rsidRPr="00B92F20">
        <w:rPr>
          <w:rFonts w:ascii="Arial" w:eastAsia="Times New Roman" w:hAnsi="Arial" w:cs="Arial"/>
          <w:b/>
          <w:sz w:val="20"/>
          <w:szCs w:val="20"/>
        </w:rPr>
        <w:t>Alterations to programme:</w:t>
      </w:r>
      <w:r w:rsidRPr="00B92F20">
        <w:rPr>
          <w:rFonts w:ascii="Arial" w:eastAsia="Times New Roman" w:hAnsi="Arial" w:cs="Arial"/>
          <w:sz w:val="20"/>
          <w:szCs w:val="20"/>
        </w:rPr>
        <w:t xml:space="preserve"> ADPH reserve the right to cancel the masterclass or change the date, venue or programme as necessary. </w:t>
      </w:r>
    </w:p>
    <w:p w:rsidR="00B92F20" w:rsidRPr="00E05579" w:rsidRDefault="00B92F20" w:rsidP="00E05579">
      <w:pPr>
        <w:jc w:val="both"/>
        <w:rPr>
          <w:rFonts w:ascii="Calibri" w:hAnsi="Calibri"/>
          <w:sz w:val="16"/>
          <w:szCs w:val="16"/>
        </w:rPr>
      </w:pPr>
    </w:p>
    <w:sectPr w:rsidR="00B92F20" w:rsidRPr="00E05579" w:rsidSect="00E05579">
      <w:headerReference w:type="default" r:id="rId10"/>
      <w:pgSz w:w="11906" w:h="16838"/>
      <w:pgMar w:top="720" w:right="720" w:bottom="720" w:left="72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51" w:rsidRDefault="00AD1551" w:rsidP="00E05579">
      <w:pPr>
        <w:spacing w:after="0" w:line="240" w:lineRule="auto"/>
      </w:pPr>
      <w:r>
        <w:separator/>
      </w:r>
    </w:p>
  </w:endnote>
  <w:endnote w:type="continuationSeparator" w:id="0">
    <w:p w:rsidR="00AD1551" w:rsidRDefault="00AD1551" w:rsidP="00E0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51" w:rsidRDefault="00AD1551" w:rsidP="00E05579">
      <w:pPr>
        <w:spacing w:after="0" w:line="240" w:lineRule="auto"/>
      </w:pPr>
      <w:r>
        <w:separator/>
      </w:r>
    </w:p>
  </w:footnote>
  <w:footnote w:type="continuationSeparator" w:id="0">
    <w:p w:rsidR="00AD1551" w:rsidRDefault="00AD1551" w:rsidP="00E05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79" w:rsidRDefault="00B92F20">
    <w:pPr>
      <w:pStyle w:val="Header"/>
    </w:pPr>
    <w:r>
      <w:rPr>
        <w:rFonts w:ascii="Arial" w:hAnsi="Arial" w:cs="Arial"/>
        <w:noProof/>
        <w:color w:val="000000"/>
        <w:sz w:val="18"/>
        <w:szCs w:val="18"/>
        <w:lang w:eastAsia="en-GB"/>
      </w:rPr>
      <w:drawing>
        <wp:anchor distT="0" distB="0" distL="114300" distR="114300" simplePos="0" relativeHeight="251657728" behindDoc="1" locked="0" layoutInCell="1" allowOverlap="1" wp14:anchorId="0CE12866" wp14:editId="34D79025">
          <wp:simplePos x="0" y="0"/>
          <wp:positionH relativeFrom="margin">
            <wp:align>right</wp:align>
          </wp:positionH>
          <wp:positionV relativeFrom="paragraph">
            <wp:posOffset>12065</wp:posOffset>
          </wp:positionV>
          <wp:extent cx="792480" cy="466725"/>
          <wp:effectExtent l="0" t="0" r="7620" b="9525"/>
          <wp:wrapTight wrapText="bothSides">
            <wp:wrapPolygon edited="0">
              <wp:start x="0" y="0"/>
              <wp:lineTo x="0" y="21159"/>
              <wp:lineTo x="12462" y="21159"/>
              <wp:lineTo x="21288" y="17633"/>
              <wp:lineTo x="21288" y="11461"/>
              <wp:lineTo x="15058" y="0"/>
              <wp:lineTo x="0" y="0"/>
            </wp:wrapPolygon>
          </wp:wrapTight>
          <wp:docPr id="4" name="Picture 4" descr="Local Governme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Government Associati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248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3E796F06" wp14:editId="53A50681">
          <wp:simplePos x="0" y="0"/>
          <wp:positionH relativeFrom="margin">
            <wp:align>center</wp:align>
          </wp:positionH>
          <wp:positionV relativeFrom="paragraph">
            <wp:posOffset>-19050</wp:posOffset>
          </wp:positionV>
          <wp:extent cx="779780" cy="497840"/>
          <wp:effectExtent l="0" t="0" r="1270" b="0"/>
          <wp:wrapTight wrapText="bothSides">
            <wp:wrapPolygon edited="0">
              <wp:start x="0" y="0"/>
              <wp:lineTo x="0" y="20663"/>
              <wp:lineTo x="21107" y="20663"/>
              <wp:lineTo x="211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78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579" w:rsidRPr="00460FE9">
      <w:rPr>
        <w:noProof/>
        <w:lang w:eastAsia="en-GB"/>
      </w:rPr>
      <w:drawing>
        <wp:inline distT="0" distB="0" distL="0" distR="0" wp14:anchorId="7CF76E15" wp14:editId="3B47190F">
          <wp:extent cx="571500" cy="568036"/>
          <wp:effectExtent l="0" t="0" r="0" b="3810"/>
          <wp:docPr id="2" name="Picture 2" descr="C:\Users\gmorgan\Dropbox\ADPH\Administration\Logos sigs profiles etc\Logos\ADPH\High res\ADPH Logo Non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gan\Dropbox\ADPH\Administration\Logos sigs profiles etc\Logos\ADPH\High res\ADPH Logo NonTranspare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926" cy="5704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2028F"/>
    <w:multiLevelType w:val="hybridMultilevel"/>
    <w:tmpl w:val="D24E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79"/>
    <w:rsid w:val="00084080"/>
    <w:rsid w:val="00237CB2"/>
    <w:rsid w:val="00455CA9"/>
    <w:rsid w:val="0062429D"/>
    <w:rsid w:val="00666BA3"/>
    <w:rsid w:val="00706AA8"/>
    <w:rsid w:val="00836CA9"/>
    <w:rsid w:val="009F17A8"/>
    <w:rsid w:val="009F3937"/>
    <w:rsid w:val="00A4413E"/>
    <w:rsid w:val="00AD1551"/>
    <w:rsid w:val="00B62E3C"/>
    <w:rsid w:val="00B92F20"/>
    <w:rsid w:val="00C000D2"/>
    <w:rsid w:val="00D447E8"/>
    <w:rsid w:val="00E05579"/>
    <w:rsid w:val="00EF66C8"/>
    <w:rsid w:val="00F40410"/>
    <w:rsid w:val="00FD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3A0643-0156-4F76-BA18-46C2ED73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579"/>
  </w:style>
  <w:style w:type="paragraph" w:styleId="Footer">
    <w:name w:val="footer"/>
    <w:basedOn w:val="Normal"/>
    <w:link w:val="FooterChar"/>
    <w:uiPriority w:val="99"/>
    <w:unhideWhenUsed/>
    <w:rsid w:val="00E05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579"/>
  </w:style>
  <w:style w:type="paragraph" w:styleId="BalloonText">
    <w:name w:val="Balloon Text"/>
    <w:basedOn w:val="Normal"/>
    <w:link w:val="BalloonTextChar"/>
    <w:uiPriority w:val="99"/>
    <w:semiHidden/>
    <w:unhideWhenUsed/>
    <w:rsid w:val="00A44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adph.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D02E4E.7EF0A010" TargetMode="External"/><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E0637-1C7B-4AFA-B8B5-F62DE88C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Morgan</dc:creator>
  <cp:keywords/>
  <dc:description/>
  <cp:lastModifiedBy>Julia Ellis</cp:lastModifiedBy>
  <cp:revision>3</cp:revision>
  <cp:lastPrinted>2014-12-19T11:38:00Z</cp:lastPrinted>
  <dcterms:created xsi:type="dcterms:W3CDTF">2015-01-19T11:02:00Z</dcterms:created>
  <dcterms:modified xsi:type="dcterms:W3CDTF">2015-01-19T11:14:00Z</dcterms:modified>
</cp:coreProperties>
</file>